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EB5" w:rsidP="00E74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FNSSUP303 Process superannuation contributions</w:t>
      </w:r>
      <w:r>
        <w:fldChar w:fldCharType="end"/>
      </w:r>
    </w:p>
    <w:p w:rsidR="00E74EB5" w:rsidP="00E74EB5">
      <w:pPr>
        <w:pStyle w:val="Version"/>
        <w:sectPr w:rsidSect="00A515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5F9" w:rsidP="00A515F9">
      <w:pPr>
        <w:pStyle w:val="SuperHeading"/>
      </w:pPr>
      <w:r w:rsidRPr="00A515F9">
        <w:t>Assessment Re</w:t>
      </w:r>
      <w:r w:rsidRPr="00A515F9">
        <w:t>quirements for FNSSUP303 Process superannuation contributions</w:t>
      </w:r>
    </w:p>
    <w:p w:rsidR="00000000" w:rsidRPr="00A515F9" w:rsidP="00A515F9">
      <w:pPr>
        <w:pStyle w:val="Heading1"/>
      </w:pPr>
      <w:bookmarkStart w:id="1" w:name="O_706931"/>
      <w:bookmarkEnd w:id="1"/>
      <w:r w:rsidRPr="00A515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51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F9" w:rsidP="00A515F9">
            <w:pPr>
              <w:pStyle w:val="BodyText"/>
            </w:pPr>
            <w:r w:rsidRPr="00A515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F9">
            <w:pPr>
              <w:pStyle w:val="BodyText"/>
              <w:rPr>
                <w:lang w:val="en-NZ"/>
              </w:rPr>
            </w:pPr>
            <w:r w:rsidRPr="00A515F9">
              <w:rPr>
                <w:rStyle w:val="SpecialBold"/>
              </w:rPr>
              <w:t>Comments</w:t>
            </w:r>
          </w:p>
        </w:tc>
      </w:tr>
      <w:tr w:rsidTr="00A51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F9">
            <w:pPr>
              <w:pStyle w:val="BodyText"/>
              <w:rPr>
                <w:lang w:val="en-NZ"/>
              </w:rPr>
            </w:pPr>
            <w:r w:rsidRPr="00A515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F9" w:rsidP="00A515F9">
            <w:pPr>
              <w:pStyle w:val="BodyText"/>
            </w:pPr>
            <w:r w:rsidRPr="00A515F9">
              <w:t>This version first released with FNS Financial Services Training Package Version 1.0.</w:t>
            </w:r>
          </w:p>
        </w:tc>
      </w:tr>
    </w:tbl>
    <w:p w:rsidR="00000000" w:rsidRPr="00A515F9" w:rsidP="00A515F9">
      <w:pPr>
        <w:pStyle w:val="BodyText"/>
      </w:pPr>
    </w:p>
    <w:p w:rsidR="00000000" w:rsidRPr="00A515F9" w:rsidP="00A515F9">
      <w:pPr>
        <w:pStyle w:val="AllowPageBreak"/>
      </w:pPr>
    </w:p>
    <w:p w:rsidR="00000000" w:rsidRPr="00A515F9" w:rsidP="00A515F9">
      <w:pPr>
        <w:pStyle w:val="Heading1"/>
      </w:pPr>
      <w:bookmarkStart w:id="2" w:name="O_706932"/>
      <w:bookmarkEnd w:id="2"/>
      <w:r w:rsidRPr="00A515F9">
        <w:t>Performance Evidence</w:t>
      </w:r>
    </w:p>
    <w:p w:rsidR="00000000" w:rsidRPr="00A515F9" w:rsidP="00E74EB5">
      <w:pPr>
        <w:pStyle w:val="BodyText"/>
      </w:pPr>
      <w:r w:rsidRPr="00A515F9">
        <w:t>Evidence of the ability to:</w:t>
      </w:r>
    </w:p>
    <w:p w:rsidR="00000000" w:rsidRPr="00A515F9" w:rsidP="00A515F9">
      <w:pPr>
        <w:pStyle w:val="ListBullet"/>
      </w:pPr>
      <w:r w:rsidRPr="00A515F9">
        <w:t>establish new accounts with a variety of different contribution types and sources</w:t>
      </w:r>
    </w:p>
    <w:p w:rsidR="00000000" w:rsidRPr="00A515F9" w:rsidP="00A515F9">
      <w:pPr>
        <w:pStyle w:val="ListBullet"/>
      </w:pPr>
      <w:r w:rsidRPr="00A515F9">
        <w:t>receive and process contributions from a range of sources</w:t>
      </w:r>
    </w:p>
    <w:p w:rsidR="00000000" w:rsidRPr="00A515F9" w:rsidP="00A515F9">
      <w:pPr>
        <w:pStyle w:val="ListBullet"/>
      </w:pPr>
      <w:r w:rsidRPr="00A515F9">
        <w:t>receive and process rollover benefit statements (RBSs)</w:t>
      </w:r>
    </w:p>
    <w:p w:rsidR="00000000" w:rsidRPr="00A515F9" w:rsidP="00A515F9">
      <w:pPr>
        <w:pStyle w:val="ListBullet"/>
      </w:pPr>
      <w:r w:rsidRPr="00A515F9">
        <w:t>identify and correct errors, inc</w:t>
      </w:r>
      <w:r w:rsidRPr="00A515F9">
        <w:t>onsistencies, omissions and incompletions</w:t>
      </w:r>
    </w:p>
    <w:p w:rsidR="00000000" w:rsidRPr="00A515F9" w:rsidP="00A515F9">
      <w:pPr>
        <w:pStyle w:val="ListBullet"/>
      </w:pPr>
      <w:r w:rsidRPr="00A515F9">
        <w:t>follow organisational procedures to ensure all work is completed accurately.</w:t>
      </w:r>
    </w:p>
    <w:p w:rsidR="00000000" w:rsidRPr="00A515F9" w:rsidP="00A515F9">
      <w:pPr>
        <w:pStyle w:val="BodyText"/>
      </w:pPr>
    </w:p>
    <w:p w:rsidR="00000000" w:rsidRPr="00A515F9" w:rsidP="00E74EB5">
      <w:pPr>
        <w:pStyle w:val="BodyText"/>
      </w:pPr>
      <w:r w:rsidRPr="00A515F9">
        <w:t>Note: If a specific volume or frequency is not stated, then evidence must be provided at least once.</w:t>
      </w:r>
    </w:p>
    <w:p w:rsidR="00000000" w:rsidRPr="00A515F9" w:rsidP="00A515F9">
      <w:pPr>
        <w:pStyle w:val="Heading1"/>
      </w:pPr>
      <w:bookmarkStart w:id="3" w:name="O_706933"/>
      <w:bookmarkEnd w:id="3"/>
      <w:r w:rsidRPr="00A515F9">
        <w:t>Knowledge Evidence</w:t>
      </w:r>
    </w:p>
    <w:p w:rsidR="00000000" w:rsidRPr="00A515F9" w:rsidP="00E74EB5">
      <w:pPr>
        <w:pStyle w:val="BodyText"/>
      </w:pPr>
      <w:r w:rsidRPr="00A515F9">
        <w:t>To complete the unit requirements safely and effectively, the individual must:</w:t>
      </w:r>
    </w:p>
    <w:p w:rsidR="00000000" w:rsidRPr="00A515F9" w:rsidP="00A515F9">
      <w:pPr>
        <w:pStyle w:val="ListBullet"/>
      </w:pPr>
      <w:r w:rsidRPr="00A515F9">
        <w:t>describe key features of company policy, objectives and procedures</w:t>
      </w:r>
    </w:p>
    <w:p w:rsidR="00000000" w:rsidRPr="00A515F9" w:rsidP="00A515F9">
      <w:pPr>
        <w:pStyle w:val="ListBullet"/>
      </w:pPr>
      <w:r w:rsidRPr="00A515F9">
        <w:t>identify types of contributions and describe their processes</w:t>
      </w:r>
    </w:p>
    <w:p w:rsidR="00000000" w:rsidRPr="00A515F9" w:rsidP="00A515F9">
      <w:pPr>
        <w:pStyle w:val="ListBullet"/>
      </w:pPr>
      <w:r w:rsidRPr="00A515F9">
        <w:t xml:space="preserve">outline the eligibility rules for contribution </w:t>
      </w:r>
      <w:r w:rsidRPr="00A515F9">
        <w:t xml:space="preserve">types under superannuation industry legislation </w:t>
      </w:r>
    </w:p>
    <w:p w:rsidR="00000000" w:rsidRPr="00A515F9" w:rsidP="00A515F9">
      <w:pPr>
        <w:pStyle w:val="ListBullet"/>
      </w:pPr>
      <w:r w:rsidRPr="00A515F9">
        <w:t>identify and describe components of a superannuation RBS</w:t>
      </w:r>
    </w:p>
    <w:p w:rsidR="00000000" w:rsidRPr="00A515F9" w:rsidP="00A515F9">
      <w:pPr>
        <w:pStyle w:val="ListBullet"/>
      </w:pPr>
      <w:r w:rsidRPr="00A515F9">
        <w:t>outline RBS documentation requirements</w:t>
      </w:r>
    </w:p>
    <w:p w:rsidR="00000000" w:rsidRPr="00A515F9" w:rsidP="00A515F9">
      <w:pPr>
        <w:pStyle w:val="ListBullet"/>
      </w:pPr>
      <w:r w:rsidRPr="00A515F9">
        <w:t>describe the key steps in the process for paying superannuation benefits</w:t>
      </w:r>
    </w:p>
    <w:p w:rsidR="00000000" w:rsidRPr="00A515F9" w:rsidP="00A515F9">
      <w:pPr>
        <w:pStyle w:val="ListBullet"/>
      </w:pPr>
      <w:r w:rsidRPr="00A515F9">
        <w:t>describe how privacy legislation appli</w:t>
      </w:r>
      <w:r w:rsidRPr="00A515F9">
        <w:t>es to processing superannuation contributions</w:t>
      </w:r>
    </w:p>
    <w:p w:rsidR="00000000" w:rsidRPr="00A515F9" w:rsidP="00A515F9">
      <w:pPr>
        <w:pStyle w:val="ListBullet"/>
      </w:pPr>
      <w:r w:rsidRPr="00A515F9">
        <w:t>describe the organisation’s quality assurance practices.</w:t>
      </w:r>
    </w:p>
    <w:p w:rsidR="00000000" w:rsidRPr="00A515F9" w:rsidP="00A515F9">
      <w:pPr>
        <w:pStyle w:val="AllowPageBreak"/>
      </w:pPr>
    </w:p>
    <w:p w:rsidR="00000000" w:rsidRPr="00A515F9" w:rsidP="00A515F9">
      <w:pPr>
        <w:pStyle w:val="Heading1"/>
      </w:pPr>
      <w:bookmarkStart w:id="4" w:name="O_706934"/>
      <w:bookmarkEnd w:id="4"/>
      <w:r w:rsidRPr="00A515F9">
        <w:t>Assessment Conditions</w:t>
      </w:r>
    </w:p>
    <w:p w:rsidR="00000000" w:rsidRPr="00A515F9" w:rsidP="00E74EB5">
      <w:pPr>
        <w:pStyle w:val="BodyText"/>
      </w:pPr>
      <w:r w:rsidRPr="00A515F9">
        <w:t xml:space="preserve">Assessment must be conducted in a safe environment where evidence gathered demonstrates consistent performance of </w:t>
      </w:r>
      <w:r w:rsidRPr="00A515F9">
        <w:t>typical activities experienced in the superannuation field of work and include access to:</w:t>
      </w:r>
    </w:p>
    <w:p w:rsidR="00000000" w:rsidRPr="00A515F9" w:rsidP="00A515F9">
      <w:pPr>
        <w:pStyle w:val="ListBullet"/>
      </w:pPr>
      <w:r w:rsidRPr="00A515F9">
        <w:t>common office equipment, technology, software and consumables</w:t>
      </w:r>
    </w:p>
    <w:p w:rsidR="00000000" w:rsidRPr="00A515F9" w:rsidP="00A515F9">
      <w:pPr>
        <w:pStyle w:val="ListBullet"/>
      </w:pPr>
      <w:r w:rsidRPr="00A515F9">
        <w:t>financial services product information</w:t>
      </w:r>
    </w:p>
    <w:p w:rsidR="00000000" w:rsidRPr="00A515F9" w:rsidP="00A515F9">
      <w:pPr>
        <w:pStyle w:val="ListBullet"/>
      </w:pPr>
      <w:r w:rsidRPr="00A515F9">
        <w:t>organisational policy and procedures.</w:t>
      </w:r>
    </w:p>
    <w:p w:rsidR="00000000" w:rsidRPr="00A515F9" w:rsidP="00A515F9">
      <w:pPr>
        <w:pStyle w:val="BodyText"/>
      </w:pPr>
    </w:p>
    <w:p w:rsidR="00000000" w:rsidRPr="00A515F9" w:rsidP="00E74EB5">
      <w:pPr>
        <w:pStyle w:val="BodyText"/>
      </w:pPr>
      <w:r w:rsidRPr="00A515F9">
        <w:t>Assessors must satisfy NVR/AQTF assessor requirements.</w:t>
      </w:r>
    </w:p>
    <w:p w:rsidR="00000000" w:rsidRPr="00A515F9" w:rsidP="00A515F9">
      <w:pPr>
        <w:pStyle w:val="Heading1"/>
      </w:pPr>
      <w:bookmarkStart w:id="5" w:name="O_706937"/>
      <w:bookmarkEnd w:id="5"/>
      <w:r w:rsidRPr="00A515F9">
        <w:t>Links</w:t>
      </w:r>
    </w:p>
    <w:p w:rsidR="00000000" w:rsidRPr="00A515F9" w:rsidP="00E74EB5">
      <w:pPr>
        <w:pStyle w:val="BodyText"/>
      </w:pPr>
      <w:r w:rsidRPr="00A515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A3B4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515F9" w:rsidP="00A515F9"/>
    <w:sectPr w:rsidSect="00A515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F9" w:rsidRPr="00E74EB5" w:rsidP="00E74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B5" w:rsidP="00A51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4EB5" w:rsidP="00A51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4EB5" w:rsidP="00A515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5F9" w:rsidRPr="00E74EB5" w:rsidP="00E74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EB5" w:rsidRPr="002D2AF8" w:rsidP="00A51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FNSSUP303 Process superannuation contributions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E74EB5" w:rsidP="00A515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A89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A2B2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5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5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5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5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5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5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5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5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5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5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5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5F9"/>
  </w:style>
  <w:style w:type="character" w:customStyle="1" w:styleId="Heading1Char">
    <w:name w:val="Heading 1 Char"/>
    <w:basedOn w:val="DefaultParagraphFont"/>
    <w:link w:val="Heading1"/>
    <w:rsid w:val="00A515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5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5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5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5F9"/>
    <w:rPr>
      <w:b/>
      <w:spacing w:val="0"/>
    </w:rPr>
  </w:style>
  <w:style w:type="paragraph" w:customStyle="1" w:styleId="SuperHeading">
    <w:name w:val="SuperHeading"/>
    <w:basedOn w:val="Normal"/>
    <w:rsid w:val="00A515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5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5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5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5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5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5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5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5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5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5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5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5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5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5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5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5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5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5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5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5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15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15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5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5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5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5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5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5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5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5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5F9"/>
    <w:rPr>
      <w:i/>
    </w:rPr>
  </w:style>
  <w:style w:type="paragraph" w:styleId="Caption">
    <w:name w:val="caption"/>
    <w:basedOn w:val="BodyText"/>
    <w:next w:val="Normal"/>
    <w:qFormat/>
    <w:rsid w:val="00A515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5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5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5F9"/>
  </w:style>
  <w:style w:type="paragraph" w:styleId="TableofFigures">
    <w:name w:val="table of figures"/>
    <w:basedOn w:val="Normal"/>
    <w:next w:val="Normal"/>
    <w:semiHidden/>
    <w:rsid w:val="00A515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5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15F9"/>
    <w:rPr>
      <w:rFonts w:ascii="Wingdings" w:hAnsi="Wingdings"/>
    </w:rPr>
  </w:style>
  <w:style w:type="paragraph" w:customStyle="1" w:styleId="TableHeading">
    <w:name w:val="Table Heading"/>
    <w:basedOn w:val="HeadingBase"/>
    <w:rsid w:val="00A515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5F9"/>
    <w:rPr>
      <w:color w:val="0033CC"/>
      <w:u w:val="none"/>
    </w:rPr>
  </w:style>
  <w:style w:type="paragraph" w:customStyle="1" w:styleId="BodyTextRight">
    <w:name w:val="Body Text Right"/>
    <w:basedOn w:val="BodyText"/>
    <w:rsid w:val="00A515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5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5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5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5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5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5F9"/>
    <w:rPr>
      <w:sz w:val="32"/>
    </w:rPr>
  </w:style>
  <w:style w:type="paragraph" w:customStyle="1" w:styleId="HeadingProcedure">
    <w:name w:val="Heading Procedure"/>
    <w:basedOn w:val="HeadingBase"/>
    <w:next w:val="Normal"/>
    <w:rsid w:val="00A515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5F9"/>
    <w:pPr>
      <w:spacing w:before="60" w:after="60"/>
    </w:pPr>
  </w:style>
  <w:style w:type="paragraph" w:styleId="ListContinue">
    <w:name w:val="List Continue"/>
    <w:basedOn w:val="List"/>
    <w:rsid w:val="00A515F9"/>
    <w:pPr>
      <w:ind w:firstLine="0"/>
    </w:pPr>
  </w:style>
  <w:style w:type="paragraph" w:customStyle="1" w:styleId="ListNote">
    <w:name w:val="List Note"/>
    <w:basedOn w:val="List"/>
    <w:rsid w:val="00A515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5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5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5F9"/>
    <w:rPr>
      <w:rFonts w:ascii="Courier New" w:hAnsi="Courier New"/>
    </w:rPr>
  </w:style>
  <w:style w:type="paragraph" w:customStyle="1" w:styleId="NoteBullet">
    <w:name w:val="Note Bullet"/>
    <w:basedOn w:val="Note"/>
    <w:rsid w:val="00A515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5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5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5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5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15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5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5F9"/>
    <w:rPr>
      <w:b/>
      <w:smallCaps/>
    </w:rPr>
  </w:style>
  <w:style w:type="paragraph" w:customStyle="1" w:styleId="TableListNumber">
    <w:name w:val="Table List Number"/>
    <w:basedOn w:val="ListNumber"/>
    <w:rsid w:val="00A515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5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5F9"/>
    <w:pPr>
      <w:numPr>
        <w:numId w:val="8"/>
      </w:numPr>
    </w:pPr>
  </w:style>
  <w:style w:type="paragraph" w:customStyle="1" w:styleId="ListAlpha2">
    <w:name w:val="List Alpha 2"/>
    <w:basedOn w:val="List2"/>
    <w:rsid w:val="00A515F9"/>
    <w:pPr>
      <w:numPr>
        <w:numId w:val="7"/>
      </w:numPr>
    </w:pPr>
  </w:style>
  <w:style w:type="paragraph" w:styleId="List2">
    <w:name w:val="List 2"/>
    <w:basedOn w:val="BodyText"/>
    <w:rsid w:val="00A515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5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5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5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5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5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15F9"/>
    <w:pPr>
      <w:numPr>
        <w:numId w:val="3"/>
      </w:numPr>
    </w:pPr>
  </w:style>
  <w:style w:type="paragraph" w:styleId="ListContinue2">
    <w:name w:val="List Continue 2"/>
    <w:basedOn w:val="List2"/>
    <w:rsid w:val="00A515F9"/>
    <w:pPr>
      <w:ind w:firstLine="0"/>
    </w:pPr>
  </w:style>
  <w:style w:type="paragraph" w:styleId="ListContinue3">
    <w:name w:val="List Continue 3"/>
    <w:basedOn w:val="List3"/>
    <w:rsid w:val="00A515F9"/>
    <w:pPr>
      <w:ind w:left="1021" w:firstLine="0"/>
    </w:pPr>
  </w:style>
  <w:style w:type="paragraph" w:styleId="ListContinue4">
    <w:name w:val="List Continue 4"/>
    <w:basedOn w:val="List4"/>
    <w:rsid w:val="00A515F9"/>
    <w:pPr>
      <w:ind w:firstLine="0"/>
    </w:pPr>
  </w:style>
  <w:style w:type="paragraph" w:styleId="ListContinue5">
    <w:name w:val="List Continue 5"/>
    <w:basedOn w:val="List5"/>
    <w:rsid w:val="00A515F9"/>
    <w:pPr>
      <w:ind w:firstLine="0"/>
    </w:pPr>
  </w:style>
  <w:style w:type="paragraph" w:styleId="ListNumber3">
    <w:name w:val="List Number 3"/>
    <w:basedOn w:val="List3"/>
    <w:rsid w:val="00A515F9"/>
    <w:pPr>
      <w:numPr>
        <w:numId w:val="4"/>
      </w:numPr>
    </w:pPr>
  </w:style>
  <w:style w:type="paragraph" w:styleId="ListNumber4">
    <w:name w:val="List Number 4"/>
    <w:basedOn w:val="List4"/>
    <w:rsid w:val="00A515F9"/>
    <w:pPr>
      <w:numPr>
        <w:numId w:val="5"/>
      </w:numPr>
    </w:pPr>
  </w:style>
  <w:style w:type="paragraph" w:styleId="ListNumber5">
    <w:name w:val="List Number 5"/>
    <w:basedOn w:val="List5"/>
    <w:rsid w:val="00A515F9"/>
    <w:pPr>
      <w:numPr>
        <w:numId w:val="6"/>
      </w:numPr>
    </w:pPr>
  </w:style>
  <w:style w:type="paragraph" w:styleId="BlockText">
    <w:name w:val="Block Text"/>
    <w:basedOn w:val="Normal"/>
    <w:rsid w:val="00A515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5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5F9"/>
    <w:rPr>
      <w:sz w:val="16"/>
      <w:vertAlign w:val="superscript"/>
    </w:rPr>
  </w:style>
  <w:style w:type="character" w:customStyle="1" w:styleId="Symbols">
    <w:name w:val="Symbols"/>
    <w:basedOn w:val="DefaultParagraphFont"/>
    <w:rsid w:val="00A515F9"/>
    <w:rPr>
      <w:rFonts w:ascii="Symbol" w:hAnsi="Symbol"/>
    </w:rPr>
  </w:style>
  <w:style w:type="character" w:customStyle="1" w:styleId="MenuOptions">
    <w:name w:val="Menu Options"/>
    <w:basedOn w:val="DefaultParagraphFont"/>
    <w:rsid w:val="00A515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5F9"/>
    <w:rPr>
      <w:b/>
    </w:rPr>
  </w:style>
  <w:style w:type="character" w:customStyle="1" w:styleId="Underlined">
    <w:name w:val="Underlined"/>
    <w:basedOn w:val="DefaultParagraphFont"/>
    <w:rsid w:val="00A515F9"/>
    <w:rPr>
      <w:u w:val="single"/>
    </w:rPr>
  </w:style>
  <w:style w:type="paragraph" w:customStyle="1" w:styleId="TableBodyTextRight">
    <w:name w:val="Table Body Text Right"/>
    <w:basedOn w:val="TableBodyText"/>
    <w:rsid w:val="00A515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5F9"/>
    <w:rPr>
      <w:sz w:val="18"/>
    </w:rPr>
  </w:style>
  <w:style w:type="paragraph" w:customStyle="1" w:styleId="BodySmallRight">
    <w:name w:val="Body Small Right"/>
    <w:basedOn w:val="BodyTextRight"/>
    <w:rsid w:val="00A515F9"/>
    <w:rPr>
      <w:sz w:val="18"/>
      <w:szCs w:val="18"/>
    </w:rPr>
  </w:style>
  <w:style w:type="paragraph" w:customStyle="1" w:styleId="MarginEdition">
    <w:name w:val="Margin Edition"/>
    <w:basedOn w:val="MarginNote"/>
    <w:rsid w:val="00A515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5F9"/>
    <w:rPr>
      <w:sz w:val="2"/>
      <w:szCs w:val="2"/>
    </w:rPr>
  </w:style>
  <w:style w:type="character" w:customStyle="1" w:styleId="Small">
    <w:name w:val="Small"/>
    <w:basedOn w:val="DefaultParagraphFont"/>
    <w:rsid w:val="00A515F9"/>
    <w:rPr>
      <w:sz w:val="16"/>
    </w:rPr>
  </w:style>
  <w:style w:type="paragraph" w:customStyle="1" w:styleId="WideTable">
    <w:name w:val="Wide Table"/>
    <w:basedOn w:val="Normal"/>
    <w:rsid w:val="00A515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5F9"/>
  </w:style>
  <w:style w:type="paragraph" w:styleId="Quote">
    <w:name w:val="Quote"/>
    <w:basedOn w:val="Heading1"/>
    <w:link w:val="QuoteChar"/>
    <w:qFormat/>
    <w:rsid w:val="00A515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5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5F9"/>
    <w:pPr>
      <w:pageBreakBefore/>
    </w:pPr>
  </w:style>
  <w:style w:type="paragraph" w:customStyle="1" w:styleId="Border">
    <w:name w:val="Border"/>
    <w:basedOn w:val="Normal"/>
    <w:qFormat/>
    <w:rsid w:val="00A515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5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5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5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5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5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5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5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5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5F9"/>
    <w:rPr>
      <w:u w:val="single"/>
    </w:rPr>
  </w:style>
  <w:style w:type="character" w:customStyle="1" w:styleId="BoldandItalics">
    <w:name w:val="Bold and Italics"/>
    <w:qFormat/>
    <w:rsid w:val="00A515F9"/>
    <w:rPr>
      <w:b/>
      <w:i/>
      <w:u w:val="none"/>
    </w:rPr>
  </w:style>
  <w:style w:type="paragraph" w:styleId="BalloonText">
    <w:name w:val="Balloon Text"/>
    <w:basedOn w:val="Normal"/>
    <w:link w:val="BalloonTextChar"/>
    <w:rsid w:val="00A51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5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5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5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5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5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5F9"/>
    <w:pPr>
      <w:spacing w:before="0" w:after="0"/>
    </w:pPr>
  </w:style>
  <w:style w:type="paragraph" w:customStyle="1" w:styleId="BodyTextBold">
    <w:name w:val="Body Text Bold"/>
    <w:basedOn w:val="BodyText"/>
    <w:qFormat/>
    <w:rsid w:val="00A515F9"/>
    <w:rPr>
      <w:b/>
    </w:rPr>
  </w:style>
  <w:style w:type="character" w:styleId="Hyperlink">
    <w:name w:val="Hyperlink"/>
    <w:basedOn w:val="DefaultParagraphFont"/>
    <w:uiPriority w:val="99"/>
    <w:unhideWhenUsed/>
    <w:rsid w:val="00E74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1908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FNSSUP303 Process superannuation contributions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2020-06-30T16:36:00Z</dcterms:created>
  <dcterms:modified xsi:type="dcterms:W3CDTF">2020-06-30T16:36:00Z</dcterms:modified>
</cp:coreProperties>
</file>