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D2F" w:rsidP="00B17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FNSSMS411 Process self-managed superannuation contributions</w:t>
      </w:r>
      <w:r>
        <w:fldChar w:fldCharType="end"/>
      </w:r>
    </w:p>
    <w:p w:rsidR="00B17D2F" w:rsidP="00B17D2F">
      <w:pPr>
        <w:pStyle w:val="Version"/>
        <w:sectPr w:rsidSect="00EC1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DC6" w:rsidP="00EC1DC6">
      <w:pPr>
        <w:pStyle w:val="SuperHeading"/>
      </w:pPr>
      <w:r w:rsidRPr="00EC1DC6">
        <w:t>Assessment Requirements for FNSSMS411 Process self-managed superannuation contributions</w:t>
      </w:r>
    </w:p>
    <w:p w:rsidR="00000000" w:rsidRPr="00EC1DC6" w:rsidP="00EC1DC6">
      <w:pPr>
        <w:pStyle w:val="Heading1"/>
      </w:pPr>
      <w:bookmarkStart w:id="1" w:name="O_1133352"/>
      <w:bookmarkEnd w:id="1"/>
      <w:r w:rsidRPr="00EC1D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1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C6" w:rsidP="00EC1DC6">
            <w:pPr>
              <w:pStyle w:val="BodyText"/>
            </w:pPr>
            <w:r w:rsidRPr="00EC1D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C6">
            <w:pPr>
              <w:pStyle w:val="BodyText"/>
              <w:rPr>
                <w:lang w:val="en-NZ"/>
              </w:rPr>
            </w:pPr>
            <w:r w:rsidRPr="00EC1DC6">
              <w:rPr>
                <w:rStyle w:val="SpecialBold"/>
              </w:rPr>
              <w:t>Comments</w:t>
            </w:r>
          </w:p>
        </w:tc>
      </w:tr>
      <w:tr w:rsidTr="00EC1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DC6">
            <w:pPr>
              <w:pStyle w:val="BodyText"/>
              <w:rPr>
                <w:lang w:val="en-NZ"/>
              </w:rPr>
            </w:pPr>
            <w:r w:rsidRPr="00EC1D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DC6" w:rsidP="00EC1DC6">
            <w:pPr>
              <w:pStyle w:val="BodyText"/>
            </w:pPr>
            <w:r w:rsidRPr="00EC1DC6">
              <w:t>This version first released with FNS Financial Services Training Package Version 5.0.</w:t>
            </w:r>
          </w:p>
        </w:tc>
      </w:tr>
    </w:tbl>
    <w:p w:rsidR="00000000" w:rsidRPr="00EC1DC6" w:rsidP="00EC1DC6">
      <w:pPr>
        <w:pStyle w:val="BodyText"/>
      </w:pPr>
    </w:p>
    <w:p w:rsidR="00000000" w:rsidRPr="00EC1DC6" w:rsidP="00EC1DC6">
      <w:pPr>
        <w:pStyle w:val="AllowPageBreak"/>
      </w:pPr>
    </w:p>
    <w:p w:rsidR="00000000" w:rsidRPr="00EC1DC6" w:rsidP="00EC1DC6">
      <w:pPr>
        <w:pStyle w:val="Heading1"/>
      </w:pPr>
      <w:bookmarkStart w:id="2" w:name="O_1133355"/>
      <w:bookmarkEnd w:id="2"/>
      <w:r w:rsidRPr="00EC1DC6">
        <w:t>Performance Evidence</w:t>
      </w:r>
    </w:p>
    <w:p w:rsidR="00000000" w:rsidRPr="00EC1DC6" w:rsidP="00B17D2F">
      <w:pPr>
        <w:pStyle w:val="BodyText"/>
      </w:pPr>
      <w:r w:rsidRPr="00EC1DC6">
        <w:t>The candidate must demonstrate the ability to complete the tasks outlined in the elements, performance criteria and foundation skills of this unit, including evidence of the ability to:</w:t>
      </w:r>
    </w:p>
    <w:p w:rsidR="00000000" w:rsidRPr="00EC1DC6" w:rsidP="00EC1DC6">
      <w:pPr>
        <w:pStyle w:val="ListBullet"/>
      </w:pPr>
      <w:r w:rsidRPr="00EC1DC6">
        <w:t>process superannuation contributions in</w:t>
      </w:r>
      <w:r w:rsidRPr="00EC1DC6">
        <w:t>to self-managed superannuation funds for at least three clients</w:t>
      </w:r>
    </w:p>
    <w:p w:rsidR="00000000" w:rsidRPr="00EC1DC6" w:rsidP="00EC1DC6">
      <w:pPr>
        <w:pStyle w:val="ListBullet"/>
      </w:pPr>
      <w:r w:rsidRPr="00EC1DC6">
        <w:t>process rollovers into self-managed superannuation funds for at least three clients.</w:t>
      </w:r>
    </w:p>
    <w:p w:rsidR="00000000" w:rsidRPr="00EC1DC6" w:rsidP="00EC1DC6">
      <w:pPr>
        <w:pStyle w:val="AllowPageBreak"/>
      </w:pPr>
    </w:p>
    <w:p w:rsidR="00000000" w:rsidRPr="00EC1DC6" w:rsidP="00EC1DC6">
      <w:pPr>
        <w:pStyle w:val="Heading1"/>
      </w:pPr>
      <w:bookmarkStart w:id="3" w:name="O_1133354"/>
      <w:bookmarkEnd w:id="3"/>
      <w:r w:rsidRPr="00EC1DC6">
        <w:t>Knowledge Evidence</w:t>
      </w:r>
    </w:p>
    <w:p w:rsidR="00000000" w:rsidRPr="00EC1DC6" w:rsidP="00B17D2F">
      <w:pPr>
        <w:pStyle w:val="BodyText"/>
      </w:pPr>
      <w:r w:rsidRPr="00EC1DC6">
        <w:t>The candidate must be able to demonstrate</w:t>
      </w:r>
      <w:r w:rsidRPr="00EC1DC6">
        <w:t xml:space="preserve"> knowledge to complete the tasks outlined in the elements, performance criteria and foundation skills of this unit, including knowledge of:</w:t>
      </w:r>
    </w:p>
    <w:p w:rsidR="00000000" w:rsidRPr="00EC1DC6" w:rsidP="00EC1DC6">
      <w:pPr>
        <w:pStyle w:val="ListBullet"/>
      </w:pPr>
      <w:r w:rsidRPr="00EC1DC6">
        <w:t>legislative and regulatory requirements relating to processing self-managed superannuation contributions and rollov</w:t>
      </w:r>
      <w:r w:rsidRPr="00EC1DC6">
        <w:t>ers, including:</w:t>
      </w:r>
    </w:p>
    <w:p w:rsidR="00000000" w:rsidRPr="00EC1DC6" w:rsidP="00EC1DC6">
      <w:pPr>
        <w:pStyle w:val="ListBullet2"/>
      </w:pPr>
      <w:r w:rsidRPr="00EC1DC6">
        <w:t>privacy legislation and data protection laws, and their application</w:t>
      </w:r>
    </w:p>
    <w:p w:rsidR="00000000" w:rsidRPr="00EC1DC6" w:rsidP="00EC1DC6">
      <w:pPr>
        <w:pStyle w:val="ListBullet2"/>
      </w:pPr>
      <w:r w:rsidRPr="00EC1DC6">
        <w:t>preservation rules before and after July 1999</w:t>
      </w:r>
    </w:p>
    <w:p w:rsidR="00000000" w:rsidRPr="00EC1DC6" w:rsidP="00EC1DC6">
      <w:pPr>
        <w:pStyle w:val="ListBullet"/>
      </w:pPr>
      <w:r w:rsidRPr="00EC1DC6">
        <w:t>fund policy, investment objectives and guidelines</w:t>
      </w:r>
    </w:p>
    <w:p w:rsidR="00000000" w:rsidRPr="00EC1DC6" w:rsidP="00EC1DC6">
      <w:pPr>
        <w:pStyle w:val="ListBullet"/>
      </w:pPr>
      <w:r w:rsidRPr="00EC1DC6">
        <w:t>organisational policies and procedures relating to:</w:t>
      </w:r>
    </w:p>
    <w:p w:rsidR="00000000" w:rsidRPr="00EC1DC6" w:rsidP="00EC1DC6">
      <w:pPr>
        <w:pStyle w:val="ListBullet2"/>
      </w:pPr>
      <w:r w:rsidRPr="00EC1DC6">
        <w:t>establishing new acco</w:t>
      </w:r>
      <w:r w:rsidRPr="00EC1DC6">
        <w:t>unts</w:t>
      </w:r>
    </w:p>
    <w:p w:rsidR="00000000" w:rsidRPr="00EC1DC6" w:rsidP="00EC1DC6">
      <w:pPr>
        <w:pStyle w:val="ListBullet2"/>
      </w:pPr>
      <w:r w:rsidRPr="00EC1DC6">
        <w:t>obtaining contributions and rollovers, including via post, person, telephone and electronic format</w:t>
      </w:r>
    </w:p>
    <w:p w:rsidR="00000000" w:rsidRPr="00EC1DC6" w:rsidP="00EC1DC6">
      <w:pPr>
        <w:pStyle w:val="ListBullet2"/>
      </w:pPr>
      <w:r w:rsidRPr="00EC1DC6">
        <w:t>reviewing, completing and processing member documentation</w:t>
      </w:r>
    </w:p>
    <w:p w:rsidR="00000000" w:rsidRPr="00EC1DC6" w:rsidP="00EC1DC6">
      <w:pPr>
        <w:pStyle w:val="ListBullet2"/>
      </w:pPr>
      <w:r w:rsidRPr="00EC1DC6">
        <w:t>calculating and processing benefits</w:t>
      </w:r>
    </w:p>
    <w:p w:rsidR="00000000" w:rsidRPr="00EC1DC6" w:rsidP="00EC1DC6">
      <w:pPr>
        <w:pStyle w:val="ListBullet2"/>
      </w:pPr>
      <w:r w:rsidRPr="00EC1DC6">
        <w:t>communicating processing information to members</w:t>
      </w:r>
    </w:p>
    <w:p w:rsidR="00000000" w:rsidRPr="00EC1DC6" w:rsidP="00EC1DC6">
      <w:pPr>
        <w:pStyle w:val="ListBullet"/>
      </w:pPr>
      <w:r w:rsidRPr="00EC1DC6">
        <w:t>types and</w:t>
      </w:r>
      <w:r w:rsidRPr="00EC1DC6">
        <w:t xml:space="preserve"> sources of superannuation contributions and rollovers</w:t>
      </w:r>
    </w:p>
    <w:p w:rsidR="00000000" w:rsidRPr="00EC1DC6" w:rsidP="00EC1DC6">
      <w:pPr>
        <w:pStyle w:val="ListBullet"/>
      </w:pPr>
      <w:r w:rsidRPr="00EC1DC6">
        <w:t>documentation requirements of superannuation contributions and rollovers</w:t>
      </w:r>
    </w:p>
    <w:p w:rsidR="00000000" w:rsidRPr="00EC1DC6" w:rsidP="00EC1DC6">
      <w:pPr>
        <w:pStyle w:val="ListBullet"/>
      </w:pPr>
      <w:r w:rsidRPr="00EC1DC6">
        <w:t>consequences of incorrect allocation of member contributions</w:t>
      </w:r>
    </w:p>
    <w:p w:rsidR="00000000" w:rsidRPr="00EC1DC6" w:rsidP="00EC1DC6">
      <w:pPr>
        <w:pStyle w:val="ListBullet"/>
      </w:pPr>
      <w:r w:rsidRPr="00EC1DC6">
        <w:t>key components of fund requirements relevant to processing contributions</w:t>
      </w:r>
    </w:p>
    <w:p w:rsidR="00000000" w:rsidRPr="00EC1DC6" w:rsidP="00EC1DC6">
      <w:pPr>
        <w:pStyle w:val="ListBullet"/>
      </w:pPr>
      <w:r w:rsidRPr="00EC1DC6">
        <w:t>contributions caps, in the context of checking that contributions are within legal limits</w:t>
      </w:r>
    </w:p>
    <w:p w:rsidR="00000000" w:rsidRPr="00EC1DC6" w:rsidP="00EC1DC6">
      <w:pPr>
        <w:pStyle w:val="ListBullet"/>
      </w:pPr>
      <w:r w:rsidRPr="00EC1DC6">
        <w:t>methods for identifying potential errors in processing contributions and rollovers</w:t>
      </w:r>
    </w:p>
    <w:p w:rsidR="00000000" w:rsidRPr="00EC1DC6" w:rsidP="00EC1DC6">
      <w:pPr>
        <w:pStyle w:val="ListBullet"/>
      </w:pPr>
      <w:r w:rsidRPr="00EC1DC6">
        <w:t>components</w:t>
      </w:r>
      <w:r w:rsidRPr="00EC1DC6">
        <w:t xml:space="preserve"> of a superannuation rollover</w:t>
      </w:r>
    </w:p>
    <w:p w:rsidR="00000000" w:rsidRPr="00EC1DC6" w:rsidP="00EC1DC6">
      <w:pPr>
        <w:pStyle w:val="ListBullet"/>
      </w:pPr>
      <w:r w:rsidRPr="00EC1DC6">
        <w:t>factors that may require further investigation in regard to superannuation contributions.</w:t>
      </w:r>
    </w:p>
    <w:p w:rsidR="00000000" w:rsidRPr="00EC1DC6" w:rsidP="00EC1DC6">
      <w:pPr>
        <w:pStyle w:val="AllowPageBreak"/>
      </w:pPr>
    </w:p>
    <w:p w:rsidR="00000000" w:rsidRPr="00EC1DC6" w:rsidP="00EC1DC6">
      <w:pPr>
        <w:pStyle w:val="Heading1"/>
      </w:pPr>
      <w:bookmarkStart w:id="4" w:name="O_1133353"/>
      <w:bookmarkEnd w:id="4"/>
      <w:r w:rsidRPr="00EC1DC6">
        <w:t>Assessment Conditions</w:t>
      </w:r>
    </w:p>
    <w:p w:rsidR="00000000" w:rsidRPr="00EC1DC6" w:rsidP="00B17D2F">
      <w:pPr>
        <w:pStyle w:val="BodyText"/>
      </w:pPr>
      <w:r w:rsidRPr="00EC1DC6">
        <w:t>Skills in this unit must be demonstrated in a workplace or simulated environment where the cond</w:t>
      </w:r>
      <w:r w:rsidRPr="00EC1DC6">
        <w:t>itions are typical of those in a working environment in this industry.</w:t>
      </w:r>
    </w:p>
    <w:p w:rsidR="00000000" w:rsidRPr="00EC1DC6" w:rsidP="00B17D2F">
      <w:pPr>
        <w:pStyle w:val="BodyText"/>
      </w:pPr>
      <w:r w:rsidRPr="00EC1DC6">
        <w:t>This includes access to:</w:t>
      </w:r>
    </w:p>
    <w:p w:rsidR="00000000" w:rsidRPr="00EC1DC6" w:rsidP="00EC1DC6">
      <w:pPr>
        <w:pStyle w:val="ListBullet"/>
      </w:pPr>
      <w:r w:rsidRPr="00EC1DC6">
        <w:t>organisational policies and procedures</w:t>
      </w:r>
    </w:p>
    <w:p w:rsidR="00000000" w:rsidRPr="00EC1DC6" w:rsidP="00EC1DC6">
      <w:pPr>
        <w:pStyle w:val="ListBullet"/>
      </w:pPr>
      <w:r w:rsidRPr="00EC1DC6">
        <w:t>documentation relating to members’ superannuation contributions and rollovers</w:t>
      </w:r>
    </w:p>
    <w:p w:rsidR="00000000" w:rsidRPr="00EC1DC6" w:rsidP="00EC1DC6">
      <w:pPr>
        <w:pStyle w:val="ListBullet"/>
      </w:pPr>
      <w:r w:rsidRPr="00EC1DC6">
        <w:t>organisational equipment, technology, soft</w:t>
      </w:r>
      <w:r w:rsidRPr="00EC1DC6">
        <w:t>ware and consumables.</w:t>
      </w:r>
    </w:p>
    <w:p w:rsidR="00000000" w:rsidRPr="00EC1DC6" w:rsidP="00EC1DC6">
      <w:pPr>
        <w:pStyle w:val="List"/>
      </w:pPr>
    </w:p>
    <w:p w:rsidR="00000000" w:rsidRPr="00EC1DC6" w:rsidP="00B17D2F">
      <w:pPr>
        <w:pStyle w:val="BodyText"/>
      </w:pPr>
      <w:r w:rsidRPr="00EC1DC6">
        <w:t>Assessors of this unit must satisfy the requirements for assessors in applicable vocational education and training legislation, frameworks and/or standards.</w:t>
      </w:r>
    </w:p>
    <w:p w:rsidR="00000000" w:rsidRPr="00EC1DC6" w:rsidP="00EC1DC6">
      <w:pPr>
        <w:pStyle w:val="Heading1"/>
      </w:pPr>
      <w:bookmarkStart w:id="5" w:name="O_1133351"/>
      <w:bookmarkEnd w:id="5"/>
      <w:r w:rsidRPr="00EC1DC6">
        <w:t>Links</w:t>
      </w:r>
    </w:p>
    <w:p w:rsidR="00000000" w:rsidRPr="00EC1DC6" w:rsidP="00B17D2F">
      <w:pPr>
        <w:pStyle w:val="BodyText"/>
      </w:pPr>
      <w:r w:rsidRPr="00EC1DC6">
        <w:t>Companion Volume Implementation Guide is found on V</w:t>
      </w:r>
      <w:r w:rsidRPr="00EC1DC6">
        <w:t xml:space="preserve">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761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C1DC6" w:rsidP="00EC1DC6"/>
    <w:sectPr w:rsidSect="00EC1D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C6" w:rsidRPr="00B17D2F" w:rsidP="00B17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F" w:rsidP="00EC1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D2F" w:rsidP="00EC1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7D2F" w:rsidP="00EC1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DC6" w:rsidRPr="00B17D2F" w:rsidP="00B17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F" w:rsidRPr="002D2AF8" w:rsidP="00EC1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FNSSMS411 Process self-managed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17D2F" w:rsidP="00EC1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222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C2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BE1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DC6"/>
  </w:style>
  <w:style w:type="character" w:customStyle="1" w:styleId="Heading1Char">
    <w:name w:val="Heading 1 Char"/>
    <w:basedOn w:val="DefaultParagraphFont"/>
    <w:link w:val="Heading1"/>
    <w:rsid w:val="00EC1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D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1D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D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DC6"/>
    <w:rPr>
      <w:b/>
      <w:spacing w:val="0"/>
    </w:rPr>
  </w:style>
  <w:style w:type="paragraph" w:styleId="ListBullet2">
    <w:name w:val="List Bullet 2"/>
    <w:basedOn w:val="List2"/>
    <w:rsid w:val="00EC1D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D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1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DC6"/>
    <w:rPr>
      <w:i/>
    </w:rPr>
  </w:style>
  <w:style w:type="paragraph" w:styleId="Caption">
    <w:name w:val="caption"/>
    <w:basedOn w:val="BodyText"/>
    <w:next w:val="Normal"/>
    <w:qFormat/>
    <w:rsid w:val="00EC1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DC6"/>
  </w:style>
  <w:style w:type="paragraph" w:styleId="TableofFigures">
    <w:name w:val="table of figures"/>
    <w:basedOn w:val="Normal"/>
    <w:next w:val="Normal"/>
    <w:semiHidden/>
    <w:rsid w:val="00EC1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D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DC6"/>
    <w:rPr>
      <w:rFonts w:ascii="Wingdings" w:hAnsi="Wingdings"/>
    </w:rPr>
  </w:style>
  <w:style w:type="paragraph" w:customStyle="1" w:styleId="TableHeading">
    <w:name w:val="Table Heading"/>
    <w:basedOn w:val="HeadingBase"/>
    <w:rsid w:val="00EC1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DC6"/>
    <w:rPr>
      <w:color w:val="0033CC"/>
      <w:u w:val="none"/>
    </w:rPr>
  </w:style>
  <w:style w:type="paragraph" w:customStyle="1" w:styleId="BodyTextRight">
    <w:name w:val="Body Text Right"/>
    <w:basedOn w:val="BodyText"/>
    <w:rsid w:val="00EC1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D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DC6"/>
    <w:rPr>
      <w:sz w:val="32"/>
    </w:rPr>
  </w:style>
  <w:style w:type="paragraph" w:customStyle="1" w:styleId="HeadingProcedure">
    <w:name w:val="Heading Procedure"/>
    <w:basedOn w:val="HeadingBase"/>
    <w:next w:val="Normal"/>
    <w:rsid w:val="00EC1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DC6"/>
    <w:pPr>
      <w:spacing w:before="60" w:after="60"/>
    </w:pPr>
  </w:style>
  <w:style w:type="paragraph" w:styleId="ListContinue">
    <w:name w:val="List Continue"/>
    <w:basedOn w:val="List"/>
    <w:rsid w:val="00EC1DC6"/>
    <w:pPr>
      <w:ind w:firstLine="0"/>
    </w:pPr>
  </w:style>
  <w:style w:type="paragraph" w:customStyle="1" w:styleId="ListNote">
    <w:name w:val="List Note"/>
    <w:basedOn w:val="List"/>
    <w:rsid w:val="00EC1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DC6"/>
    <w:rPr>
      <w:rFonts w:ascii="Courier New" w:hAnsi="Courier New"/>
    </w:rPr>
  </w:style>
  <w:style w:type="paragraph" w:customStyle="1" w:styleId="NoteBullet">
    <w:name w:val="Note Bullet"/>
    <w:basedOn w:val="Note"/>
    <w:rsid w:val="00EC1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D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DC6"/>
    <w:rPr>
      <w:b/>
      <w:smallCaps/>
    </w:rPr>
  </w:style>
  <w:style w:type="paragraph" w:customStyle="1" w:styleId="TableListNumber">
    <w:name w:val="Table List Number"/>
    <w:basedOn w:val="ListNumber"/>
    <w:rsid w:val="00EC1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DC6"/>
    <w:pPr>
      <w:numPr>
        <w:numId w:val="9"/>
      </w:numPr>
    </w:pPr>
  </w:style>
  <w:style w:type="paragraph" w:customStyle="1" w:styleId="ListAlpha2">
    <w:name w:val="List Alpha 2"/>
    <w:basedOn w:val="List2"/>
    <w:rsid w:val="00EC1DC6"/>
    <w:pPr>
      <w:numPr>
        <w:numId w:val="8"/>
      </w:numPr>
    </w:pPr>
  </w:style>
  <w:style w:type="paragraph" w:styleId="List2">
    <w:name w:val="List 2"/>
    <w:basedOn w:val="BodyText"/>
    <w:rsid w:val="00EC1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D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D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DC6"/>
    <w:pPr>
      <w:numPr>
        <w:numId w:val="4"/>
      </w:numPr>
    </w:pPr>
  </w:style>
  <w:style w:type="paragraph" w:styleId="ListContinue2">
    <w:name w:val="List Continue 2"/>
    <w:basedOn w:val="List2"/>
    <w:rsid w:val="00EC1DC6"/>
    <w:pPr>
      <w:ind w:firstLine="0"/>
    </w:pPr>
  </w:style>
  <w:style w:type="paragraph" w:styleId="ListContinue3">
    <w:name w:val="List Continue 3"/>
    <w:basedOn w:val="List3"/>
    <w:rsid w:val="00EC1DC6"/>
    <w:pPr>
      <w:ind w:left="1021" w:firstLine="0"/>
    </w:pPr>
  </w:style>
  <w:style w:type="paragraph" w:styleId="ListContinue4">
    <w:name w:val="List Continue 4"/>
    <w:basedOn w:val="List4"/>
    <w:rsid w:val="00EC1DC6"/>
    <w:pPr>
      <w:ind w:firstLine="0"/>
    </w:pPr>
  </w:style>
  <w:style w:type="paragraph" w:styleId="ListContinue5">
    <w:name w:val="List Continue 5"/>
    <w:basedOn w:val="List5"/>
    <w:rsid w:val="00EC1DC6"/>
    <w:pPr>
      <w:ind w:firstLine="0"/>
    </w:pPr>
  </w:style>
  <w:style w:type="paragraph" w:styleId="ListNumber3">
    <w:name w:val="List Number 3"/>
    <w:basedOn w:val="List3"/>
    <w:rsid w:val="00EC1DC6"/>
    <w:pPr>
      <w:numPr>
        <w:numId w:val="5"/>
      </w:numPr>
    </w:pPr>
  </w:style>
  <w:style w:type="paragraph" w:styleId="ListNumber4">
    <w:name w:val="List Number 4"/>
    <w:basedOn w:val="List4"/>
    <w:rsid w:val="00EC1DC6"/>
    <w:pPr>
      <w:numPr>
        <w:numId w:val="6"/>
      </w:numPr>
    </w:pPr>
  </w:style>
  <w:style w:type="paragraph" w:styleId="ListNumber5">
    <w:name w:val="List Number 5"/>
    <w:basedOn w:val="List5"/>
    <w:rsid w:val="00EC1DC6"/>
    <w:pPr>
      <w:numPr>
        <w:numId w:val="7"/>
      </w:numPr>
    </w:pPr>
  </w:style>
  <w:style w:type="paragraph" w:styleId="BlockText">
    <w:name w:val="Block Text"/>
    <w:basedOn w:val="Normal"/>
    <w:rsid w:val="00EC1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DC6"/>
    <w:rPr>
      <w:sz w:val="16"/>
      <w:vertAlign w:val="superscript"/>
    </w:rPr>
  </w:style>
  <w:style w:type="character" w:customStyle="1" w:styleId="Symbols">
    <w:name w:val="Symbols"/>
    <w:basedOn w:val="DefaultParagraphFont"/>
    <w:rsid w:val="00EC1DC6"/>
    <w:rPr>
      <w:rFonts w:ascii="Symbol" w:hAnsi="Symbol"/>
    </w:rPr>
  </w:style>
  <w:style w:type="character" w:customStyle="1" w:styleId="MenuOptions">
    <w:name w:val="Menu Options"/>
    <w:basedOn w:val="DefaultParagraphFont"/>
    <w:rsid w:val="00EC1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DC6"/>
    <w:rPr>
      <w:b/>
    </w:rPr>
  </w:style>
  <w:style w:type="character" w:customStyle="1" w:styleId="Underlined">
    <w:name w:val="Underlined"/>
    <w:basedOn w:val="DefaultParagraphFont"/>
    <w:rsid w:val="00EC1DC6"/>
    <w:rPr>
      <w:u w:val="single"/>
    </w:rPr>
  </w:style>
  <w:style w:type="paragraph" w:customStyle="1" w:styleId="TableBodyTextRight">
    <w:name w:val="Table Body Text Right"/>
    <w:basedOn w:val="TableBodyText"/>
    <w:rsid w:val="00EC1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DC6"/>
    <w:rPr>
      <w:sz w:val="18"/>
    </w:rPr>
  </w:style>
  <w:style w:type="paragraph" w:customStyle="1" w:styleId="BodySmallRight">
    <w:name w:val="Body Small Right"/>
    <w:basedOn w:val="BodyTextRight"/>
    <w:rsid w:val="00EC1DC6"/>
    <w:rPr>
      <w:sz w:val="18"/>
      <w:szCs w:val="18"/>
    </w:rPr>
  </w:style>
  <w:style w:type="paragraph" w:customStyle="1" w:styleId="MarginEdition">
    <w:name w:val="Margin Edition"/>
    <w:basedOn w:val="MarginNote"/>
    <w:rsid w:val="00EC1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DC6"/>
    <w:rPr>
      <w:sz w:val="2"/>
      <w:szCs w:val="2"/>
    </w:rPr>
  </w:style>
  <w:style w:type="character" w:customStyle="1" w:styleId="Small">
    <w:name w:val="Small"/>
    <w:basedOn w:val="DefaultParagraphFont"/>
    <w:rsid w:val="00EC1DC6"/>
    <w:rPr>
      <w:sz w:val="16"/>
    </w:rPr>
  </w:style>
  <w:style w:type="paragraph" w:customStyle="1" w:styleId="WideTable">
    <w:name w:val="Wide Table"/>
    <w:basedOn w:val="Normal"/>
    <w:rsid w:val="00EC1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DC6"/>
  </w:style>
  <w:style w:type="paragraph" w:styleId="Quote">
    <w:name w:val="Quote"/>
    <w:basedOn w:val="Heading1"/>
    <w:link w:val="QuoteChar"/>
    <w:qFormat/>
    <w:rsid w:val="00EC1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DC6"/>
    <w:pPr>
      <w:pageBreakBefore/>
    </w:pPr>
  </w:style>
  <w:style w:type="paragraph" w:customStyle="1" w:styleId="Border">
    <w:name w:val="Border"/>
    <w:basedOn w:val="Normal"/>
    <w:qFormat/>
    <w:rsid w:val="00EC1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DC6"/>
    <w:rPr>
      <w:u w:val="single"/>
    </w:rPr>
  </w:style>
  <w:style w:type="character" w:customStyle="1" w:styleId="BoldandItalics">
    <w:name w:val="Bold and Italics"/>
    <w:qFormat/>
    <w:rsid w:val="00EC1DC6"/>
    <w:rPr>
      <w:b/>
      <w:i/>
      <w:u w:val="none"/>
    </w:rPr>
  </w:style>
  <w:style w:type="paragraph" w:styleId="BalloonText">
    <w:name w:val="Balloon Text"/>
    <w:basedOn w:val="Normal"/>
    <w:link w:val="BalloonTextChar"/>
    <w:rsid w:val="00EC1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DC6"/>
    <w:pPr>
      <w:spacing w:before="0" w:after="0"/>
    </w:pPr>
  </w:style>
  <w:style w:type="paragraph" w:customStyle="1" w:styleId="BodyTextBold">
    <w:name w:val="Body Text Bold"/>
    <w:basedOn w:val="BodyText"/>
    <w:qFormat/>
    <w:rsid w:val="00EC1DC6"/>
    <w:rPr>
      <w:b/>
    </w:rPr>
  </w:style>
  <w:style w:type="character" w:styleId="Hyperlink">
    <w:name w:val="Hyperlink"/>
    <w:basedOn w:val="DefaultParagraphFont"/>
    <w:uiPriority w:val="99"/>
    <w:unhideWhenUsed/>
    <w:rsid w:val="00B17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2624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FNSSMS411 Process self-managed superannuation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