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97C76" w:rsidP="00397C76">
      <w:pPr>
        <w:pStyle w:val="Title"/>
      </w:pPr>
      <w:r>
        <w:fldChar w:fldCharType="begin"/>
      </w:r>
      <w:r>
        <w:instrText xml:space="preserve"> TITLE   \* MERGEFORMAT </w:instrText>
      </w:r>
      <w:r>
        <w:fldChar w:fldCharType="separate"/>
      </w:r>
      <w:r>
        <w:t>FNSRSK612 Determine and manage risk exposure strategies</w:t>
      </w:r>
      <w:r>
        <w:fldChar w:fldCharType="end"/>
      </w:r>
    </w:p>
    <w:p w:rsidR="00397C76" w:rsidP="00397C76">
      <w:pPr>
        <w:pStyle w:val="Version"/>
        <w:sectPr w:rsidSect="00C372A2">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C372A2" w:rsidP="00C372A2">
      <w:pPr>
        <w:pStyle w:val="SuperHeading"/>
      </w:pPr>
      <w:r w:rsidRPr="00C372A2">
        <w:t>FNSRSK612 Determine and manage risk exposure strategies</w:t>
      </w:r>
    </w:p>
    <w:p w:rsidR="00000000" w:rsidRPr="00C372A2" w:rsidP="00C372A2">
      <w:pPr>
        <w:pStyle w:val="Heading1"/>
      </w:pPr>
      <w:bookmarkStart w:id="1" w:name="O_1088972"/>
      <w:bookmarkEnd w:id="1"/>
      <w:r w:rsidRPr="00C372A2">
        <w:t>Modification History</w:t>
      </w:r>
    </w:p>
    <w:tbl>
      <w:tblPr>
        <w:tblW w:w="0" w:type="auto"/>
        <w:tblLayout w:type="fixed"/>
        <w:tblCellMar>
          <w:left w:w="62" w:type="dxa"/>
          <w:right w:w="62" w:type="dxa"/>
        </w:tblCellMar>
        <w:tblLook w:val="0000"/>
      </w:tblPr>
      <w:tblGrid>
        <w:gridCol w:w="2627"/>
        <w:gridCol w:w="6337"/>
      </w:tblGrid>
      <w:tr w:rsidTr="00C372A2">
        <w:tblPrEx>
          <w:tblW w:w="0" w:type="auto"/>
          <w:tblLayout w:type="fixed"/>
          <w:tblCellMar>
            <w:left w:w="62" w:type="dxa"/>
            <w:right w:w="62" w:type="dxa"/>
          </w:tblCellMar>
          <w:tblLook w:val="0000"/>
        </w:tblPrEx>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372A2" w:rsidP="00C372A2">
            <w:pPr>
              <w:pStyle w:val="BodyText"/>
            </w:pPr>
            <w:r w:rsidRPr="00C372A2">
              <w:rPr>
                <w:rStyle w:val="SpecialBold"/>
              </w:rPr>
              <w:t>Release</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372A2">
            <w:pPr>
              <w:pStyle w:val="BodyText"/>
              <w:rPr>
                <w:lang w:val="en-NZ"/>
              </w:rPr>
            </w:pPr>
            <w:r w:rsidRPr="00C372A2">
              <w:rPr>
                <w:rStyle w:val="SpecialBold"/>
              </w:rPr>
              <w:t>Comments</w:t>
            </w:r>
          </w:p>
        </w:tc>
      </w:tr>
      <w:tr w:rsidTr="00C372A2">
        <w:tblPrEx>
          <w:tblW w:w="0" w:type="auto"/>
          <w:tblLayout w:type="fixed"/>
          <w:tblCellMar>
            <w:left w:w="62" w:type="dxa"/>
            <w:right w:w="62" w:type="dxa"/>
          </w:tblCellMar>
          <w:tblLook w:val="0000"/>
        </w:tblPrEx>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372A2">
            <w:pPr>
              <w:pStyle w:val="BodyText"/>
              <w:rPr>
                <w:lang w:val="en-NZ"/>
              </w:rPr>
            </w:pPr>
            <w:r w:rsidRPr="00C372A2">
              <w:t>Release 1</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372A2" w:rsidP="00C372A2">
            <w:pPr>
              <w:pStyle w:val="BodyText"/>
            </w:pPr>
            <w:r w:rsidRPr="00C372A2">
              <w:t>This version first released with FNS Financial Services Training Package Version 4.0.</w:t>
            </w:r>
          </w:p>
        </w:tc>
      </w:tr>
    </w:tbl>
    <w:p w:rsidR="00000000" w:rsidRPr="00C372A2" w:rsidP="00C372A2">
      <w:pPr>
        <w:pStyle w:val="BodyText"/>
      </w:pPr>
    </w:p>
    <w:p w:rsidR="00000000" w:rsidRPr="00C372A2" w:rsidP="00C372A2">
      <w:pPr>
        <w:pStyle w:val="AllowPageBreak"/>
      </w:pPr>
    </w:p>
    <w:p w:rsidR="00000000" w:rsidRPr="00C372A2" w:rsidP="00C372A2">
      <w:pPr>
        <w:pStyle w:val="Heading1"/>
      </w:pPr>
      <w:bookmarkStart w:id="2" w:name="O_1088977"/>
      <w:bookmarkEnd w:id="2"/>
      <w:r w:rsidRPr="00C372A2">
        <w:t>Application</w:t>
      </w:r>
    </w:p>
    <w:p w:rsidR="00000000" w:rsidRPr="00C372A2" w:rsidP="00397C76">
      <w:pPr>
        <w:pStyle w:val="BodyText"/>
      </w:pPr>
      <w:r w:rsidRPr="00C372A2">
        <w:t xml:space="preserve">This unit describes the skills and knowledge required to analyse risk </w:t>
      </w:r>
      <w:r w:rsidRPr="00C372A2">
        <w:t>factors for financial products, determine appropriate risk exposure management strategies, communicate these strategies to relevant staff and intermediaries, and manage the risk assessment strategies. It is aimed at setting the strategy for portfolio manag</w:t>
      </w:r>
      <w:r w:rsidRPr="00C372A2">
        <w:t>ers, including the types of business to target.</w:t>
      </w:r>
    </w:p>
    <w:p w:rsidR="00000000" w:rsidRPr="00C372A2" w:rsidP="00397C76">
      <w:pPr>
        <w:pStyle w:val="BodyText"/>
      </w:pPr>
      <w:r w:rsidRPr="00C372A2">
        <w:t>It applies to individuals who use specialised knowledge, systematic approaches and analytical skills to provide leadership in managing strategic organisational activity in financial services organisations.</w:t>
      </w:r>
    </w:p>
    <w:p w:rsidR="00000000" w:rsidRPr="00C372A2" w:rsidP="00397C76">
      <w:pPr>
        <w:pStyle w:val="BodyText"/>
      </w:pPr>
      <w:r w:rsidRPr="00C372A2">
        <w:t>Wo</w:t>
      </w:r>
      <w:r w:rsidRPr="00C372A2">
        <w:t>rk functions in the occupational areas where this unit may be used are subject to regulatory requirements. Refer to the relevant regulator for specific guidance on requirements.</w:t>
      </w:r>
    </w:p>
    <w:p w:rsidR="00000000" w:rsidRPr="00C372A2" w:rsidP="00C372A2">
      <w:pPr>
        <w:pStyle w:val="Heading1"/>
      </w:pPr>
      <w:bookmarkStart w:id="3" w:name="O_1088976"/>
      <w:bookmarkEnd w:id="3"/>
      <w:r w:rsidRPr="00C372A2">
        <w:t>Unit Sector</w:t>
      </w:r>
    </w:p>
    <w:p w:rsidR="00000000" w:rsidRPr="00C372A2" w:rsidP="00397C76">
      <w:pPr>
        <w:pStyle w:val="BodyText"/>
      </w:pPr>
      <w:r w:rsidRPr="00C372A2">
        <w:t>Risk management</w:t>
      </w:r>
    </w:p>
    <w:p w:rsidR="00000000" w:rsidRPr="00C372A2" w:rsidP="00C372A2">
      <w:pPr>
        <w:pStyle w:val="Heading1"/>
      </w:pPr>
      <w:bookmarkStart w:id="4" w:name="O_1088975"/>
      <w:bookmarkEnd w:id="4"/>
      <w:r w:rsidRPr="00C372A2">
        <w:t>Elements and</w:t>
      </w:r>
      <w:r w:rsidRPr="00C372A2">
        <w:t xml:space="preserve"> Performance Criteria</w:t>
      </w:r>
    </w:p>
    <w:tbl>
      <w:tblPr>
        <w:tblW w:w="9236" w:type="dxa"/>
        <w:tblLayout w:type="fixed"/>
        <w:tblCellMar>
          <w:left w:w="62" w:type="dxa"/>
          <w:right w:w="62" w:type="dxa"/>
        </w:tblCellMar>
        <w:tblLook w:val="0000"/>
      </w:tblPr>
      <w:tblGrid>
        <w:gridCol w:w="2600"/>
        <w:gridCol w:w="6636"/>
      </w:tblGrid>
      <w:tr w:rsidTr="00C372A2">
        <w:tblPrEx>
          <w:tblW w:w="9236" w:type="dxa"/>
          <w:tblLayout w:type="fixed"/>
          <w:tblCellMar>
            <w:left w:w="62" w:type="dxa"/>
            <w:right w:w="62" w:type="dxa"/>
          </w:tblCellMar>
          <w:tblLook w:val="0000"/>
        </w:tblPrEx>
        <w:trPr>
          <w:tblHeader/>
        </w:trPr>
        <w:tc>
          <w:tcPr>
            <w:tcW w:w="260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C372A2" w:rsidP="00C372A2">
            <w:pPr>
              <w:pStyle w:val="BodyText"/>
            </w:pPr>
            <w:r w:rsidRPr="00C372A2">
              <w:rPr>
                <w:rStyle w:val="SpecialBold"/>
              </w:rPr>
              <w:t>ELEMENT</w:t>
            </w:r>
          </w:p>
        </w:tc>
        <w:tc>
          <w:tcPr>
            <w:tcW w:w="6636"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C372A2">
            <w:pPr>
              <w:pStyle w:val="BodyText"/>
              <w:rPr>
                <w:lang w:val="en-NZ"/>
              </w:rPr>
            </w:pPr>
            <w:r w:rsidRPr="00C372A2">
              <w:rPr>
                <w:rStyle w:val="SpecialBold"/>
              </w:rPr>
              <w:t>PERFORMANCE CRITERIA</w:t>
            </w:r>
          </w:p>
        </w:tc>
      </w:tr>
      <w:tr w:rsidTr="00C372A2">
        <w:tblPrEx>
          <w:tblW w:w="9236" w:type="dxa"/>
          <w:tblLayout w:type="fixed"/>
          <w:tblCellMar>
            <w:left w:w="62" w:type="dxa"/>
            <w:right w:w="62" w:type="dxa"/>
          </w:tblCellMar>
          <w:tblLook w:val="0000"/>
        </w:tblPrEx>
        <w:tc>
          <w:tcPr>
            <w:tcW w:w="260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C372A2" w:rsidP="00C372A2">
            <w:pPr>
              <w:pStyle w:val="BodyText"/>
            </w:pPr>
            <w:r w:rsidRPr="00C372A2">
              <w:rPr>
                <w:rStyle w:val="Emphasis"/>
              </w:rPr>
              <w:t>Elements describe the essential outcomes.</w:t>
            </w:r>
          </w:p>
        </w:tc>
        <w:tc>
          <w:tcPr>
            <w:tcW w:w="6636"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C372A2">
            <w:pPr>
              <w:pStyle w:val="BodyText"/>
              <w:rPr>
                <w:lang w:val="en-NZ"/>
              </w:rPr>
            </w:pPr>
            <w:r w:rsidRPr="00C372A2">
              <w:rPr>
                <w:rStyle w:val="Emphasis"/>
              </w:rPr>
              <w:t>Performance criteria describe the performance needed to demonstrate achievement of the element.</w:t>
            </w:r>
          </w:p>
        </w:tc>
      </w:tr>
      <w:tr w:rsidTr="00C372A2">
        <w:tblPrEx>
          <w:tblW w:w="9236" w:type="dxa"/>
          <w:tblLayout w:type="fixed"/>
          <w:tblCellMar>
            <w:left w:w="62" w:type="dxa"/>
            <w:right w:w="62" w:type="dxa"/>
          </w:tblCellMar>
          <w:tblLook w:val="0000"/>
        </w:tblPrEx>
        <w:tc>
          <w:tcPr>
            <w:tcW w:w="26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372A2">
            <w:pPr>
              <w:pStyle w:val="List"/>
              <w:rPr>
                <w:lang w:val="en-NZ"/>
              </w:rPr>
            </w:pPr>
            <w:r w:rsidRPr="00C372A2">
              <w:t>1. Determine risk assessment strategies</w:t>
            </w:r>
          </w:p>
        </w:tc>
        <w:tc>
          <w:tcPr>
            <w:tcW w:w="663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372A2" w:rsidP="00C372A2">
            <w:pPr>
              <w:pStyle w:val="List"/>
            </w:pPr>
            <w:r w:rsidRPr="00C372A2">
              <w:t>1.1 Identify and evaluate criteria for acceptance or rejection of risks using standards for risk management as indicated by regulators</w:t>
            </w:r>
          </w:p>
          <w:p w:rsidR="00000000" w:rsidRPr="00C372A2" w:rsidP="00C372A2">
            <w:pPr>
              <w:pStyle w:val="List"/>
            </w:pPr>
            <w:r w:rsidRPr="00C372A2">
              <w:t>1.2 Determine organisational performance targets and capacity to assess and accept risk</w:t>
            </w:r>
          </w:p>
          <w:p w:rsidR="00000000" w:rsidP="00C372A2">
            <w:pPr>
              <w:pStyle w:val="List"/>
              <w:rPr>
                <w:lang w:val="en-NZ"/>
              </w:rPr>
            </w:pPr>
            <w:r w:rsidRPr="00C372A2">
              <w:t>1.3 Identify business risk and co</w:t>
            </w:r>
            <w:r w:rsidRPr="00C372A2">
              <w:t>ntrol risk elements of an organisation</w:t>
            </w:r>
          </w:p>
        </w:tc>
      </w:tr>
      <w:tr w:rsidTr="00C372A2">
        <w:tblPrEx>
          <w:tblW w:w="9236" w:type="dxa"/>
          <w:tblLayout w:type="fixed"/>
          <w:tblCellMar>
            <w:left w:w="62" w:type="dxa"/>
            <w:right w:w="62" w:type="dxa"/>
          </w:tblCellMar>
          <w:tblLook w:val="0000"/>
        </w:tblPrEx>
        <w:tc>
          <w:tcPr>
            <w:tcW w:w="26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372A2">
            <w:pPr>
              <w:pStyle w:val="List"/>
              <w:rPr>
                <w:lang w:val="en-NZ"/>
              </w:rPr>
            </w:pPr>
            <w:r w:rsidRPr="00C372A2">
              <w:t>2. Review risk and compliance factors</w:t>
            </w:r>
          </w:p>
        </w:tc>
        <w:tc>
          <w:tcPr>
            <w:tcW w:w="663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372A2" w:rsidP="00C372A2">
            <w:pPr>
              <w:pStyle w:val="List"/>
            </w:pPr>
            <w:r w:rsidRPr="00C372A2">
              <w:t xml:space="preserve">2.1 Identify and collate information on business and control risk elements </w:t>
            </w:r>
          </w:p>
          <w:p w:rsidR="00000000" w:rsidRPr="00C372A2" w:rsidP="00C372A2">
            <w:pPr>
              <w:pStyle w:val="List"/>
            </w:pPr>
            <w:r w:rsidRPr="00C372A2">
              <w:t xml:space="preserve">2.2 Investigate and review the data and information </w:t>
            </w:r>
          </w:p>
          <w:p w:rsidR="00000000" w:rsidRPr="00C372A2" w:rsidP="00C372A2">
            <w:pPr>
              <w:pStyle w:val="List"/>
            </w:pPr>
            <w:r w:rsidRPr="00C372A2">
              <w:t>2.3 Evaluate risk elements against known exposure factors and compliance where relevant with legislation, regulatory guidelines, industry sector compliance requirements and organisational policy</w:t>
            </w:r>
          </w:p>
          <w:p w:rsidR="00000000" w:rsidRPr="00C372A2" w:rsidP="00C372A2">
            <w:pPr>
              <w:pStyle w:val="List"/>
            </w:pPr>
            <w:r w:rsidRPr="00C372A2">
              <w:t>2.4 Evaluate risk acceptability factors within context of org</w:t>
            </w:r>
            <w:r w:rsidRPr="00C372A2">
              <w:t>anisation’s mitigating capabilities and organisational requirements</w:t>
            </w:r>
          </w:p>
          <w:p w:rsidR="00000000" w:rsidP="00C372A2">
            <w:pPr>
              <w:pStyle w:val="List"/>
              <w:rPr>
                <w:lang w:val="en-NZ"/>
              </w:rPr>
            </w:pPr>
            <w:r w:rsidRPr="00C372A2">
              <w:t xml:space="preserve">2.5 Critically analyse risk considerations in the business strategic planning process in line with appetite </w:t>
            </w:r>
          </w:p>
        </w:tc>
      </w:tr>
      <w:tr w:rsidTr="00C372A2">
        <w:tblPrEx>
          <w:tblW w:w="9236" w:type="dxa"/>
          <w:tblLayout w:type="fixed"/>
          <w:tblCellMar>
            <w:left w:w="62" w:type="dxa"/>
            <w:right w:w="62" w:type="dxa"/>
          </w:tblCellMar>
          <w:tblLook w:val="0000"/>
        </w:tblPrEx>
        <w:tc>
          <w:tcPr>
            <w:tcW w:w="26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372A2">
            <w:pPr>
              <w:pStyle w:val="List"/>
              <w:rPr>
                <w:lang w:val="en-NZ"/>
              </w:rPr>
            </w:pPr>
            <w:r w:rsidRPr="00C372A2">
              <w:t>3. Develop risk acceptance criteria</w:t>
            </w:r>
          </w:p>
        </w:tc>
        <w:tc>
          <w:tcPr>
            <w:tcW w:w="663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372A2" w:rsidP="00C372A2">
            <w:pPr>
              <w:pStyle w:val="List"/>
            </w:pPr>
            <w:r w:rsidRPr="00C372A2">
              <w:t>3.1 Establish terms and conditions of risk</w:t>
            </w:r>
            <w:r w:rsidRPr="00C372A2">
              <w:t xml:space="preserve"> acceptance criteria to satisfactorily cover organisational needs and risks </w:t>
            </w:r>
          </w:p>
          <w:p w:rsidR="00000000" w:rsidRPr="00C372A2" w:rsidP="00C372A2">
            <w:pPr>
              <w:pStyle w:val="List"/>
            </w:pPr>
            <w:r w:rsidRPr="00C372A2">
              <w:t>3.2 Document risk acceptance strategies, criteria and guidelines that meet requirements within delegated authorities</w:t>
            </w:r>
          </w:p>
          <w:p w:rsidR="00000000" w:rsidRPr="00C372A2" w:rsidP="00C372A2">
            <w:pPr>
              <w:pStyle w:val="List"/>
            </w:pPr>
            <w:r w:rsidRPr="00C372A2">
              <w:t xml:space="preserve">3.3 Obtain and review feedback on risk acceptance strategies, </w:t>
            </w:r>
            <w:r w:rsidRPr="00C372A2">
              <w:t>criteria and guidelines</w:t>
            </w:r>
          </w:p>
          <w:p w:rsidR="00000000" w:rsidP="00C372A2">
            <w:pPr>
              <w:pStyle w:val="List"/>
              <w:rPr>
                <w:lang w:val="en-NZ"/>
              </w:rPr>
            </w:pPr>
            <w:r w:rsidRPr="00C372A2">
              <w:t>3.4 Finalise risk acceptance criteria, and associated authority limitations, conditions and guidelines</w:t>
            </w:r>
          </w:p>
        </w:tc>
      </w:tr>
      <w:tr w:rsidTr="00C372A2">
        <w:tblPrEx>
          <w:tblW w:w="9236" w:type="dxa"/>
          <w:tblLayout w:type="fixed"/>
          <w:tblCellMar>
            <w:left w:w="62" w:type="dxa"/>
            <w:right w:w="62" w:type="dxa"/>
          </w:tblCellMar>
          <w:tblLook w:val="0000"/>
        </w:tblPrEx>
        <w:tc>
          <w:tcPr>
            <w:tcW w:w="26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372A2">
            <w:pPr>
              <w:pStyle w:val="List"/>
              <w:rPr>
                <w:lang w:val="en-NZ"/>
              </w:rPr>
            </w:pPr>
            <w:r w:rsidRPr="00C372A2">
              <w:t>4.  Assess operational capital management  risk</w:t>
            </w:r>
          </w:p>
        </w:tc>
        <w:tc>
          <w:tcPr>
            <w:tcW w:w="663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372A2" w:rsidP="00C372A2">
            <w:pPr>
              <w:pStyle w:val="List"/>
            </w:pPr>
            <w:r w:rsidRPr="00C372A2">
              <w:t>4.1 Develop fit for purpose capital models that meet regulatory requirements and</w:t>
            </w:r>
            <w:r w:rsidRPr="00C372A2">
              <w:t xml:space="preserve"> organisational policies and procedures</w:t>
            </w:r>
          </w:p>
          <w:p w:rsidR="00000000" w:rsidRPr="00C372A2" w:rsidP="00C372A2">
            <w:pPr>
              <w:pStyle w:val="List"/>
            </w:pPr>
            <w:r w:rsidRPr="00C372A2">
              <w:t>4.2 Review risk profile and calculate potential operational risk exposure</w:t>
            </w:r>
          </w:p>
          <w:p w:rsidR="00000000" w:rsidRPr="00C372A2" w:rsidP="00C372A2">
            <w:pPr>
              <w:pStyle w:val="List"/>
            </w:pPr>
            <w:r w:rsidRPr="00C372A2">
              <w:t>4.3 Monitor internal and external losses and re-assess inherent risk and capital requirements</w:t>
            </w:r>
          </w:p>
          <w:p w:rsidR="00000000" w:rsidP="00C372A2">
            <w:pPr>
              <w:pStyle w:val="List"/>
              <w:rPr>
                <w:lang w:val="en-NZ"/>
              </w:rPr>
            </w:pPr>
            <w:r w:rsidRPr="00C372A2">
              <w:t>4.4 Undertake internal and external reporting to</w:t>
            </w:r>
            <w:r w:rsidRPr="00C372A2">
              <w:t xml:space="preserve"> market and regulatory bodies</w:t>
            </w:r>
          </w:p>
        </w:tc>
      </w:tr>
      <w:tr w:rsidTr="00C372A2">
        <w:tblPrEx>
          <w:tblW w:w="9236" w:type="dxa"/>
          <w:tblLayout w:type="fixed"/>
          <w:tblCellMar>
            <w:left w:w="62" w:type="dxa"/>
            <w:right w:w="62" w:type="dxa"/>
          </w:tblCellMar>
          <w:tblLook w:val="0000"/>
        </w:tblPrEx>
        <w:tc>
          <w:tcPr>
            <w:tcW w:w="26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372A2">
            <w:pPr>
              <w:pStyle w:val="List"/>
              <w:rPr>
                <w:lang w:val="en-NZ"/>
              </w:rPr>
            </w:pPr>
            <w:r w:rsidRPr="00C372A2">
              <w:t>5. Assess impact and implement risk acceptance strategies</w:t>
            </w:r>
          </w:p>
        </w:tc>
        <w:tc>
          <w:tcPr>
            <w:tcW w:w="663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372A2" w:rsidP="00C372A2">
            <w:pPr>
              <w:pStyle w:val="List"/>
            </w:pPr>
            <w:r w:rsidRPr="00C372A2">
              <w:t xml:space="preserve">5.1 Identify and develop procedures and guidelines that staff should follow to adhere to risk acceptance strategy </w:t>
            </w:r>
          </w:p>
          <w:p w:rsidR="00000000" w:rsidRPr="00C372A2" w:rsidP="00C372A2">
            <w:pPr>
              <w:pStyle w:val="List"/>
            </w:pPr>
            <w:r w:rsidRPr="00C372A2">
              <w:t>5.2 Communicate risk assessment strategies, criteria</w:t>
            </w:r>
            <w:r w:rsidRPr="00C372A2">
              <w:t>, procedures and guidelines to relevant staff and intermediaries</w:t>
            </w:r>
          </w:p>
          <w:p w:rsidR="00000000" w:rsidP="00C372A2">
            <w:pPr>
              <w:pStyle w:val="List"/>
              <w:rPr>
                <w:lang w:val="en-NZ"/>
              </w:rPr>
            </w:pPr>
            <w:r w:rsidRPr="00C372A2">
              <w:t>5.3 Monitor risk acceptance strategy implementation</w:t>
            </w:r>
          </w:p>
        </w:tc>
      </w:tr>
      <w:tr w:rsidTr="00C372A2">
        <w:tblPrEx>
          <w:tblW w:w="9236" w:type="dxa"/>
          <w:tblLayout w:type="fixed"/>
          <w:tblCellMar>
            <w:left w:w="62" w:type="dxa"/>
            <w:right w:w="62" w:type="dxa"/>
          </w:tblCellMar>
          <w:tblLook w:val="0000"/>
        </w:tblPrEx>
        <w:tc>
          <w:tcPr>
            <w:tcW w:w="26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372A2">
            <w:pPr>
              <w:pStyle w:val="List"/>
              <w:rPr>
                <w:lang w:val="en-NZ"/>
              </w:rPr>
            </w:pPr>
            <w:r w:rsidRPr="00C372A2">
              <w:t>6. Review risk assessment strategies</w:t>
            </w:r>
          </w:p>
        </w:tc>
        <w:tc>
          <w:tcPr>
            <w:tcW w:w="663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372A2" w:rsidP="00C372A2">
            <w:pPr>
              <w:pStyle w:val="List"/>
            </w:pPr>
            <w:r w:rsidRPr="00C372A2">
              <w:t>6.1 Determine effectiveness of risk acceptance strategies in meeting risk management objectives</w:t>
            </w:r>
          </w:p>
          <w:p w:rsidR="00000000" w:rsidRPr="00C372A2" w:rsidP="00C372A2">
            <w:pPr>
              <w:pStyle w:val="List"/>
            </w:pPr>
            <w:r w:rsidRPr="00C372A2">
              <w:t>6.2 Document and communicate results to relevant staff</w:t>
            </w:r>
          </w:p>
        </w:tc>
      </w:tr>
    </w:tbl>
    <w:p w:rsidR="00397C76" w:rsidP="00C372A2">
      <w:pPr>
        <w:pStyle w:val="List2"/>
      </w:pPr>
    </w:p>
    <w:p w:rsidR="00397C76" w:rsidP="00C372A2">
      <w:pPr>
        <w:pStyle w:val="List2"/>
      </w:pPr>
    </w:p>
    <w:p w:rsidR="00000000" w:rsidRPr="00C372A2" w:rsidP="00C372A2">
      <w:pPr>
        <w:pStyle w:val="Heading1"/>
      </w:pPr>
      <w:bookmarkStart w:id="5" w:name="O_1088974"/>
      <w:bookmarkEnd w:id="5"/>
      <w:r w:rsidRPr="00C372A2">
        <w:t>Foundation Skills</w:t>
      </w:r>
    </w:p>
    <w:p w:rsidR="00000000" w:rsidRPr="00397C76" w:rsidP="00397C76">
      <w:pPr>
        <w:pStyle w:val="BodyText"/>
        <w:rPr>
          <w:i/>
        </w:rPr>
      </w:pPr>
      <w:r w:rsidRPr="00397C76">
        <w:rPr>
          <w:rStyle w:val="Emphasis"/>
        </w:rPr>
        <w:t>This section describes those language, literacy, numeracy and employment skills that are essential to performance but not explicit in the performance criteria.</w:t>
      </w:r>
    </w:p>
    <w:p w:rsidR="00000000" w:rsidRPr="00C372A2" w:rsidP="00C372A2">
      <w:pPr>
        <w:pStyle w:val="BodyText"/>
      </w:pPr>
    </w:p>
    <w:tbl>
      <w:tblPr>
        <w:tblW w:w="0" w:type="auto"/>
        <w:tblCellMar>
          <w:left w:w="62" w:type="dxa"/>
          <w:right w:w="62" w:type="dxa"/>
        </w:tblCellMar>
        <w:tblLook w:val="0000"/>
      </w:tblPr>
      <w:tblGrid>
        <w:gridCol w:w="1217"/>
        <w:gridCol w:w="7979"/>
      </w:tblGrid>
      <w:tr w:rsidTr="00397C76">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372A2" w:rsidP="00C372A2">
            <w:pPr>
              <w:pStyle w:val="BodyText"/>
            </w:pPr>
            <w:r w:rsidRPr="00C372A2">
              <w:rPr>
                <w:rStyle w:val="SpecialBold"/>
              </w:rPr>
              <w:t>Skill</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372A2">
            <w:pPr>
              <w:pStyle w:val="BodyText"/>
              <w:rPr>
                <w:lang w:val="en-NZ"/>
              </w:rPr>
            </w:pPr>
            <w:r w:rsidRPr="00C372A2">
              <w:rPr>
                <w:rStyle w:val="SpecialBold"/>
              </w:rPr>
              <w:t>Description</w:t>
            </w:r>
          </w:p>
        </w:tc>
      </w:tr>
      <w:tr w:rsidTr="00397C76">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372A2">
            <w:pPr>
              <w:pStyle w:val="BodyText"/>
              <w:rPr>
                <w:lang w:val="en-NZ"/>
              </w:rPr>
            </w:pPr>
            <w:r w:rsidRPr="00C372A2">
              <w:t>Numeracy</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372A2">
            <w:pPr>
              <w:pStyle w:val="ListBullet"/>
              <w:rPr>
                <w:lang w:val="en-NZ"/>
              </w:rPr>
            </w:pPr>
            <w:r w:rsidRPr="00C372A2">
              <w:t>Collates, interprets and analyses financial and statistical information to determine requirements</w:t>
            </w:r>
          </w:p>
        </w:tc>
      </w:tr>
      <w:tr w:rsidTr="00397C76">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372A2">
            <w:pPr>
              <w:pStyle w:val="BodyText"/>
              <w:rPr>
                <w:lang w:val="en-NZ"/>
              </w:rPr>
            </w:pPr>
            <w:r w:rsidRPr="00C372A2">
              <w:t>Oral communication</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C372A2" w:rsidP="00C372A2">
            <w:pPr>
              <w:pStyle w:val="ListBullet"/>
            </w:pPr>
            <w:r w:rsidRPr="00C372A2">
              <w:t xml:space="preserve">Participates in verbal exchanges using active listening and questioning techniques to </w:t>
            </w:r>
            <w:r w:rsidRPr="00C372A2">
              <w:t>convey information, obtain feedback and elicit the views and opinions of others</w:t>
            </w:r>
          </w:p>
          <w:p w:rsidR="00000000" w:rsidP="00C372A2">
            <w:pPr>
              <w:pStyle w:val="ListBullet"/>
              <w:rPr>
                <w:lang w:val="en-NZ"/>
              </w:rPr>
            </w:pPr>
            <w:r w:rsidRPr="00C372A2">
              <w:t>Articulates clearly, using concepts and language specific to the audience, and adapts tone and pace to engage and present information to others</w:t>
            </w:r>
          </w:p>
        </w:tc>
      </w:tr>
      <w:tr w:rsidTr="00397C76">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372A2">
            <w:pPr>
              <w:pStyle w:val="BodyText"/>
              <w:rPr>
                <w:lang w:val="en-NZ"/>
              </w:rPr>
            </w:pPr>
            <w:r w:rsidRPr="00C372A2">
              <w:t>Reading</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372A2">
            <w:pPr>
              <w:pStyle w:val="ListBullet"/>
              <w:rPr>
                <w:lang w:val="en-NZ"/>
              </w:rPr>
            </w:pPr>
            <w:r w:rsidRPr="00C372A2">
              <w:t>Critically analyses co</w:t>
            </w:r>
            <w:r w:rsidRPr="00C372A2">
              <w:t>mplex documentation from a variety of sources and consolidates information relating to specific criteria to determine requirements</w:t>
            </w:r>
          </w:p>
        </w:tc>
      </w:tr>
      <w:tr w:rsidTr="00397C76">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372A2">
            <w:pPr>
              <w:pStyle w:val="BodyText"/>
              <w:rPr>
                <w:lang w:val="en-NZ"/>
              </w:rPr>
            </w:pPr>
            <w:r w:rsidRPr="00C372A2">
              <w:t>Writing</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C372A2" w:rsidP="00C372A2">
            <w:pPr>
              <w:pStyle w:val="ListBullet"/>
            </w:pPr>
            <w:r w:rsidRPr="00C372A2">
              <w:t xml:space="preserve">Uses clear and concise language, spelling and grammar, and terminology to convey information </w:t>
            </w:r>
            <w:r w:rsidRPr="00C372A2">
              <w:t>and provide detailed instructions</w:t>
            </w:r>
          </w:p>
          <w:p w:rsidR="00000000" w:rsidP="00C372A2">
            <w:pPr>
              <w:pStyle w:val="ListBullet"/>
              <w:rPr>
                <w:lang w:val="en-NZ"/>
              </w:rPr>
            </w:pPr>
            <w:r w:rsidRPr="00C372A2">
              <w:t>Prepares logically organised documents using specific formats for the audience and purpose</w:t>
            </w:r>
          </w:p>
        </w:tc>
      </w:tr>
      <w:tr w:rsidTr="00397C76">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372A2">
            <w:pPr>
              <w:pStyle w:val="BodyText"/>
              <w:rPr>
                <w:lang w:val="en-NZ"/>
              </w:rPr>
            </w:pPr>
            <w:r w:rsidRPr="00C372A2">
              <w:t>Teamwork</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372A2">
            <w:pPr>
              <w:pStyle w:val="ListBullet"/>
              <w:rPr>
                <w:lang w:val="en-NZ"/>
              </w:rPr>
            </w:pPr>
            <w:r w:rsidRPr="00C372A2">
              <w:t>Uses a variety of communication tools and strategies in building and maintaining working relationships</w:t>
            </w:r>
          </w:p>
        </w:tc>
      </w:tr>
      <w:tr w:rsidTr="00397C76">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372A2">
            <w:pPr>
              <w:pStyle w:val="BodyText"/>
              <w:rPr>
                <w:lang w:val="en-NZ"/>
              </w:rPr>
            </w:pPr>
            <w:r w:rsidRPr="00C372A2">
              <w:t>Initiative and e</w:t>
            </w:r>
            <w:r w:rsidRPr="00C372A2">
              <w:t>nterprise</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C372A2" w:rsidP="00C372A2">
            <w:pPr>
              <w:pStyle w:val="ListBullet"/>
            </w:pPr>
            <w:r w:rsidRPr="00C372A2">
              <w:t>Uses formal analytical thinking techniques to identify or predict issues and generate possible solutions</w:t>
            </w:r>
          </w:p>
          <w:p w:rsidR="00000000" w:rsidP="00C372A2">
            <w:pPr>
              <w:pStyle w:val="ListBullet"/>
              <w:rPr>
                <w:lang w:val="en-NZ"/>
              </w:rPr>
            </w:pPr>
            <w:r w:rsidRPr="00C372A2">
              <w:t>Explores and incubates new and innovative ideas through unconstrained analysis and critical thinking</w:t>
            </w:r>
          </w:p>
        </w:tc>
      </w:tr>
      <w:tr w:rsidTr="00397C76">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372A2">
            <w:pPr>
              <w:pStyle w:val="BodyText"/>
              <w:rPr>
                <w:lang w:val="en-NZ"/>
              </w:rPr>
            </w:pPr>
            <w:r w:rsidRPr="00C372A2">
              <w:t>Planning and organising</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C372A2" w:rsidP="00C372A2">
            <w:pPr>
              <w:pStyle w:val="ListBullet"/>
            </w:pPr>
            <w:r w:rsidRPr="00C372A2">
              <w:t>Plans strateg</w:t>
            </w:r>
            <w:r w:rsidRPr="00C372A2">
              <w:t>ic priorities and outcomes within a diverse environment exposed to competing demands</w:t>
            </w:r>
          </w:p>
          <w:p w:rsidR="00000000" w:rsidRPr="00C372A2" w:rsidP="00C372A2">
            <w:pPr>
              <w:pStyle w:val="ListBullet"/>
            </w:pPr>
            <w:r w:rsidRPr="00C372A2">
              <w:t>Gathers and analyses data and seeks feedback to improve plans and processes</w:t>
            </w:r>
          </w:p>
          <w:p w:rsidR="00000000" w:rsidP="00C372A2">
            <w:pPr>
              <w:pStyle w:val="ListBullet"/>
              <w:rPr>
                <w:lang w:val="en-NZ"/>
              </w:rPr>
            </w:pPr>
            <w:r w:rsidRPr="00C372A2">
              <w:t>Makes high impact decisions in a complex and diverse environment, using input from a range of s</w:t>
            </w:r>
            <w:r w:rsidRPr="00C372A2">
              <w:t>ources</w:t>
            </w:r>
          </w:p>
        </w:tc>
      </w:tr>
      <w:tr w:rsidTr="00397C76">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372A2">
            <w:pPr>
              <w:pStyle w:val="BodyText"/>
              <w:rPr>
                <w:lang w:val="en-NZ"/>
              </w:rPr>
            </w:pPr>
            <w:r w:rsidRPr="00C372A2">
              <w:t>Self-management</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C372A2" w:rsidP="00C372A2">
            <w:pPr>
              <w:pStyle w:val="ListBullet"/>
            </w:pPr>
            <w:r w:rsidRPr="00C372A2">
              <w:t>Works autonomously, making high level decisions to achieve and improve organisational goals</w:t>
            </w:r>
          </w:p>
          <w:p w:rsidR="00000000" w:rsidRPr="00C372A2" w:rsidP="00C372A2">
            <w:pPr>
              <w:pStyle w:val="ListBullet"/>
            </w:pPr>
            <w:r w:rsidRPr="00C372A2">
              <w:t>Takes a lead role in the development of organisational goals, roles and responsibilities</w:t>
            </w:r>
          </w:p>
          <w:p w:rsidR="00000000" w:rsidP="00C372A2">
            <w:pPr>
              <w:pStyle w:val="ListBullet"/>
              <w:rPr>
                <w:lang w:val="en-NZ"/>
              </w:rPr>
            </w:pPr>
            <w:r w:rsidRPr="00C372A2">
              <w:t>Monitors and reviews organisational policy, procedures and adherence to legislative requirements</w:t>
            </w:r>
          </w:p>
        </w:tc>
      </w:tr>
      <w:tr w:rsidTr="00397C76">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372A2">
            <w:pPr>
              <w:pStyle w:val="BodyText"/>
              <w:rPr>
                <w:lang w:val="en-NZ"/>
              </w:rPr>
            </w:pPr>
            <w:r w:rsidRPr="00C372A2">
              <w:t>Technology</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C372A2" w:rsidP="00C372A2">
            <w:pPr>
              <w:pStyle w:val="ListBullet"/>
            </w:pPr>
            <w:r w:rsidRPr="00C372A2">
              <w:t>Uses digital systems and technologies to enter, store or access information</w:t>
            </w:r>
          </w:p>
          <w:p w:rsidR="00000000" w:rsidRPr="00C372A2" w:rsidP="00C372A2">
            <w:pPr>
              <w:pStyle w:val="ListBullet"/>
            </w:pPr>
            <w:r w:rsidRPr="00C372A2">
              <w:t>Adopts new and emerging technologies to complete work tasks</w:t>
            </w:r>
          </w:p>
        </w:tc>
      </w:tr>
    </w:tbl>
    <w:p w:rsidR="00000000" w:rsidRPr="00C372A2" w:rsidP="00C372A2">
      <w:pPr>
        <w:pStyle w:val="BodyText"/>
      </w:pPr>
    </w:p>
    <w:p w:rsidR="00000000" w:rsidRPr="00C372A2" w:rsidP="00C372A2">
      <w:pPr>
        <w:pStyle w:val="AllowPageBreak"/>
      </w:pPr>
    </w:p>
    <w:p w:rsidR="00000000" w:rsidRPr="00C372A2" w:rsidP="00C372A2">
      <w:pPr>
        <w:pStyle w:val="Heading1"/>
      </w:pPr>
      <w:bookmarkStart w:id="6" w:name="O_1088973"/>
      <w:bookmarkEnd w:id="6"/>
      <w:r w:rsidRPr="00C372A2">
        <w:t>Unit Mapping Information</w:t>
      </w:r>
    </w:p>
    <w:p w:rsidR="00000000" w:rsidRPr="00C372A2" w:rsidP="00397C76">
      <w:pPr>
        <w:pStyle w:val="BodyText"/>
      </w:pPr>
      <w:r w:rsidRPr="00C372A2">
        <w:t>No equivalent unit. Supersedes and is not equivalent to FNSRSK602 Determine and manage risk exposure strategies.</w:t>
      </w:r>
    </w:p>
    <w:p w:rsidR="00000000" w:rsidRPr="00C372A2" w:rsidP="00C372A2">
      <w:pPr>
        <w:pStyle w:val="Heading1"/>
      </w:pPr>
      <w:bookmarkStart w:id="7" w:name="O_1088966"/>
      <w:bookmarkEnd w:id="7"/>
      <w:r w:rsidRPr="00C372A2">
        <w:t>Links</w:t>
      </w:r>
    </w:p>
    <w:p w:rsidR="00000000" w:rsidRPr="00C372A2" w:rsidP="00397C76">
      <w:pPr>
        <w:pStyle w:val="BodyText"/>
      </w:pPr>
      <w:r w:rsidRPr="00C372A2">
        <w:t xml:space="preserve">Companion Volume Implementation Guide is found on VETNet - </w:t>
      </w:r>
      <w:r>
        <w:fldChar w:fldCharType="begin"/>
      </w:r>
      <w:r>
        <w:instrText xml:space="preserve"> HYPERLINK "https://vetnet.gov.au/Pages/TrainingDocs.aspx?q=c7200cc8-0566-4f04-b76f-e89fd6f102fe" </w:instrText>
      </w:r>
      <w:r>
        <w:fldChar w:fldCharType="separate"/>
      </w:r>
      <w:r w:rsidRPr="00517E84">
        <w:rPr>
          <w:rStyle w:val="Hyperlink"/>
        </w:rPr>
        <w:t>https://vetnet.gov.au/Pages/TrainingDocs.aspx?q=c7200cc8-0566-4f04-b76f-e89fd6f102fe</w:t>
      </w:r>
      <w:r>
        <w:fldChar w:fldCharType="end"/>
      </w:r>
    </w:p>
    <w:p w:rsidR="00000000" w:rsidRPr="00C372A2" w:rsidP="00C372A2"/>
    <w:sectPr w:rsidSect="00C372A2">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372A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372A2" w:rsidRPr="00397C76" w:rsidP="00397C7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372A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97C76" w:rsidP="00C372A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397C76" w:rsidP="00C372A2">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PwC’s Skills for Australia</w:t>
    </w:r>
    <w:r>
      <w:fldChar w:fldCharType="end"/>
    </w:r>
  </w:p>
  <w:p w:rsidR="00397C76" w:rsidP="00C372A2">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372A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97C76"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C372A2" w:rsidRPr="00397C76" w:rsidP="00397C76">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372A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97C76" w:rsidRPr="002D2AF8" w:rsidP="00C372A2">
    <w:pPr>
      <w:pStyle w:val="Header"/>
      <w:framePr w:wrap="around"/>
    </w:pPr>
    <w:r>
      <w:fldChar w:fldCharType="begin"/>
    </w:r>
    <w:r>
      <w:instrText xml:space="preserve"> TITLE   \* MERGEFORMAT </w:instrText>
    </w:r>
    <w:r>
      <w:fldChar w:fldCharType="separate"/>
    </w:r>
    <w:r>
      <w:t>FNSRSK612 Determine and manage risk exposure strategies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3 November 2022</w:t>
    </w:r>
    <w:r>
      <w:fldChar w:fldCharType="end"/>
    </w:r>
  </w:p>
  <w:p w:rsidR="00397C76" w:rsidP="00C372A2">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20E41FFE"/>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B486EED0"/>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372A2"/>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C372A2"/>
    <w:pPr>
      <w:spacing w:before="360" w:after="60"/>
      <w:outlineLvl w:val="0"/>
    </w:pPr>
    <w:rPr>
      <w:sz w:val="32"/>
    </w:rPr>
  </w:style>
  <w:style w:type="paragraph" w:styleId="Heading2">
    <w:name w:val="heading 2"/>
    <w:basedOn w:val="HeadingBase"/>
    <w:next w:val="BodyText"/>
    <w:link w:val="Heading2Char"/>
    <w:qFormat/>
    <w:rsid w:val="00C372A2"/>
    <w:pPr>
      <w:keepLines/>
      <w:spacing w:before="240" w:after="120"/>
      <w:outlineLvl w:val="1"/>
    </w:pPr>
    <w:rPr>
      <w:sz w:val="28"/>
      <w:szCs w:val="40"/>
    </w:rPr>
  </w:style>
  <w:style w:type="paragraph" w:styleId="Heading3">
    <w:name w:val="heading 3"/>
    <w:basedOn w:val="HeadingBase"/>
    <w:next w:val="BodyText"/>
    <w:link w:val="Heading3Char"/>
    <w:qFormat/>
    <w:rsid w:val="00C372A2"/>
    <w:pPr>
      <w:spacing w:before="180" w:after="120"/>
      <w:outlineLvl w:val="2"/>
    </w:pPr>
    <w:rPr>
      <w:spacing w:val="-10"/>
      <w:kern w:val="32"/>
    </w:rPr>
  </w:style>
  <w:style w:type="paragraph" w:styleId="Heading4">
    <w:name w:val="heading 4"/>
    <w:basedOn w:val="HeadingBase"/>
    <w:next w:val="BodyText"/>
    <w:link w:val="Heading4Char"/>
    <w:qFormat/>
    <w:rsid w:val="00C372A2"/>
    <w:pPr>
      <w:spacing w:before="160" w:after="120"/>
      <w:outlineLvl w:val="3"/>
    </w:pPr>
    <w:rPr>
      <w:sz w:val="22"/>
    </w:rPr>
  </w:style>
  <w:style w:type="paragraph" w:styleId="Heading5">
    <w:name w:val="heading 5"/>
    <w:basedOn w:val="HeadingBase"/>
    <w:next w:val="Normal"/>
    <w:link w:val="Heading5Char"/>
    <w:qFormat/>
    <w:rsid w:val="00C372A2"/>
    <w:pPr>
      <w:spacing w:before="80"/>
      <w:outlineLvl w:val="4"/>
    </w:pPr>
    <w:rPr>
      <w:color w:val="918585"/>
      <w:sz w:val="20"/>
    </w:rPr>
  </w:style>
  <w:style w:type="paragraph" w:styleId="Heading6">
    <w:name w:val="heading 6"/>
    <w:basedOn w:val="HeadingBase"/>
    <w:next w:val="Normal"/>
    <w:link w:val="Heading6Char"/>
    <w:qFormat/>
    <w:rsid w:val="00C372A2"/>
    <w:pPr>
      <w:spacing w:before="60"/>
      <w:outlineLvl w:val="5"/>
    </w:pPr>
    <w:rPr>
      <w:color w:val="918585"/>
      <w:sz w:val="20"/>
    </w:rPr>
  </w:style>
  <w:style w:type="paragraph" w:styleId="Heading7">
    <w:name w:val="heading 7"/>
    <w:basedOn w:val="Normal"/>
    <w:next w:val="Normal"/>
    <w:link w:val="Heading7Char"/>
    <w:qFormat/>
    <w:rsid w:val="00C372A2"/>
    <w:pPr>
      <w:ind w:left="720"/>
      <w:outlineLvl w:val="6"/>
    </w:pPr>
    <w:rPr>
      <w:i/>
    </w:rPr>
  </w:style>
  <w:style w:type="paragraph" w:styleId="Heading8">
    <w:name w:val="heading 8"/>
    <w:basedOn w:val="Normal"/>
    <w:next w:val="Normal"/>
    <w:link w:val="Heading8Char"/>
    <w:qFormat/>
    <w:rsid w:val="00C372A2"/>
    <w:pPr>
      <w:ind w:left="720"/>
      <w:outlineLvl w:val="7"/>
    </w:pPr>
    <w:rPr>
      <w:i/>
    </w:rPr>
  </w:style>
  <w:style w:type="paragraph" w:styleId="Heading9">
    <w:name w:val="heading 9"/>
    <w:basedOn w:val="Normal"/>
    <w:next w:val="Normal"/>
    <w:link w:val="Heading9Char"/>
    <w:qFormat/>
    <w:rsid w:val="00C372A2"/>
    <w:pPr>
      <w:ind w:left="720"/>
      <w:outlineLvl w:val="8"/>
    </w:pPr>
    <w:rPr>
      <w:i/>
    </w:rPr>
  </w:style>
  <w:style w:type="character" w:default="1" w:styleId="DefaultParagraphFont">
    <w:name w:val="Default Paragraph Font"/>
    <w:uiPriority w:val="1"/>
    <w:unhideWhenUsed/>
    <w:rsid w:val="00C372A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372A2"/>
  </w:style>
  <w:style w:type="character" w:customStyle="1" w:styleId="Heading1Char">
    <w:name w:val="Heading 1 Char"/>
    <w:basedOn w:val="DefaultParagraphFont"/>
    <w:link w:val="Heading1"/>
    <w:rsid w:val="00C372A2"/>
    <w:rPr>
      <w:rFonts w:ascii="Times New Roman" w:eastAsia="Times New Roman" w:hAnsi="Times New Roman" w:cs="Times New Roman"/>
      <w:b/>
      <w:sz w:val="32"/>
      <w:szCs w:val="20"/>
      <w:lang w:eastAsia="en-US"/>
    </w:rPr>
  </w:style>
  <w:style w:type="paragraph" w:styleId="BodyText">
    <w:name w:val="Body Text"/>
    <w:basedOn w:val="Normal"/>
    <w:link w:val="BodyTextChar"/>
    <w:rsid w:val="00C372A2"/>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C372A2"/>
    <w:rPr>
      <w:rFonts w:ascii="Times New Roman" w:eastAsia="Times New Roman" w:hAnsi="Times New Roman" w:cs="Times New Roman"/>
      <w:sz w:val="24"/>
      <w:lang w:eastAsia="en-US"/>
    </w:rPr>
  </w:style>
  <w:style w:type="paragraph" w:styleId="List">
    <w:name w:val="List"/>
    <w:basedOn w:val="BodyText"/>
    <w:next w:val="BodyText"/>
    <w:rsid w:val="00C372A2"/>
    <w:pPr>
      <w:tabs>
        <w:tab w:val="left" w:pos="340"/>
      </w:tabs>
      <w:spacing w:before="60" w:after="60"/>
      <w:ind w:left="340" w:hanging="340"/>
    </w:pPr>
  </w:style>
  <w:style w:type="paragraph" w:styleId="ListBullet">
    <w:name w:val="List Bullet"/>
    <w:basedOn w:val="List"/>
    <w:rsid w:val="00C372A2"/>
    <w:pPr>
      <w:numPr>
        <w:numId w:val="11"/>
      </w:numPr>
      <w:tabs>
        <w:tab w:val="clear" w:pos="340"/>
      </w:tabs>
      <w:spacing w:before="40" w:after="40"/>
    </w:pPr>
  </w:style>
  <w:style w:type="character" w:customStyle="1" w:styleId="SpecialBold">
    <w:name w:val="Special Bold"/>
    <w:basedOn w:val="DefaultParagraphFont"/>
    <w:rsid w:val="00C372A2"/>
    <w:rPr>
      <w:b/>
      <w:spacing w:val="0"/>
    </w:rPr>
  </w:style>
  <w:style w:type="character" w:styleId="Emphasis">
    <w:name w:val="Emphasis"/>
    <w:basedOn w:val="DefaultParagraphFont"/>
    <w:qFormat/>
    <w:rsid w:val="00C372A2"/>
    <w:rPr>
      <w:i/>
    </w:rPr>
  </w:style>
  <w:style w:type="paragraph" w:customStyle="1" w:styleId="SuperHeading">
    <w:name w:val="SuperHeading"/>
    <w:basedOn w:val="Normal"/>
    <w:rsid w:val="00C372A2"/>
    <w:pPr>
      <w:spacing w:before="240" w:after="120"/>
      <w:outlineLvl w:val="0"/>
    </w:pPr>
    <w:rPr>
      <w:rFonts w:ascii="Times New Roman" w:hAnsi="Times New Roman"/>
      <w:b/>
      <w:sz w:val="32"/>
    </w:rPr>
  </w:style>
  <w:style w:type="paragraph" w:customStyle="1" w:styleId="AllowPageBreak">
    <w:name w:val="AllowPageBreak"/>
    <w:rsid w:val="00C372A2"/>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C372A2"/>
    <w:pPr>
      <w:tabs>
        <w:tab w:val="left" w:pos="680"/>
      </w:tabs>
      <w:spacing w:before="60" w:after="60"/>
      <w:ind w:left="680" w:hanging="340"/>
    </w:pPr>
  </w:style>
  <w:style w:type="character" w:customStyle="1" w:styleId="Heading2Char">
    <w:name w:val="Heading 2 Char"/>
    <w:basedOn w:val="DefaultParagraphFont"/>
    <w:link w:val="Heading2"/>
    <w:rsid w:val="00C372A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372A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372A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372A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372A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372A2"/>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C372A2"/>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C372A2"/>
    <w:rPr>
      <w:rFonts w:ascii="Courier New" w:eastAsia="Times New Roman" w:hAnsi="Courier New" w:cs="Times New Roman"/>
      <w:i/>
      <w:szCs w:val="20"/>
      <w:lang w:eastAsia="en-US"/>
    </w:rPr>
  </w:style>
  <w:style w:type="paragraph" w:customStyle="1" w:styleId="HeadingBase">
    <w:name w:val="Heading Base"/>
    <w:rsid w:val="00C372A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372A2"/>
    <w:pPr>
      <w:tabs>
        <w:tab w:val="right" w:leader="dot" w:pos="9072"/>
      </w:tabs>
      <w:ind w:left="567"/>
    </w:pPr>
    <w:rPr>
      <w:szCs w:val="22"/>
    </w:rPr>
  </w:style>
  <w:style w:type="paragraph" w:customStyle="1" w:styleId="TOCBase">
    <w:name w:val="TOC Base"/>
    <w:rsid w:val="00C372A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372A2"/>
    <w:pPr>
      <w:tabs>
        <w:tab w:val="right" w:leader="dot" w:pos="9072"/>
      </w:tabs>
      <w:spacing w:before="40" w:after="40"/>
      <w:ind w:left="284"/>
    </w:pPr>
    <w:rPr>
      <w:rFonts w:ascii="Times New Roman" w:hAnsi="Times New Roman"/>
    </w:rPr>
  </w:style>
  <w:style w:type="paragraph" w:styleId="TOC1">
    <w:name w:val="toc 1"/>
    <w:basedOn w:val="TOCBase"/>
    <w:next w:val="Normal"/>
    <w:rsid w:val="00C372A2"/>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C372A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372A2"/>
    <w:rPr>
      <w:rFonts w:ascii="Times New Roman" w:eastAsia="Times New Roman" w:hAnsi="Times New Roman" w:cs="Times New Roman"/>
      <w:sz w:val="16"/>
      <w:lang w:eastAsia="en-US"/>
    </w:rPr>
  </w:style>
  <w:style w:type="paragraph" w:styleId="Title">
    <w:name w:val="Title"/>
    <w:basedOn w:val="HeadingBase"/>
    <w:link w:val="TitleChar"/>
    <w:qFormat/>
    <w:rsid w:val="00C372A2"/>
    <w:pPr>
      <w:spacing w:before="5040"/>
      <w:jc w:val="center"/>
    </w:pPr>
    <w:rPr>
      <w:sz w:val="48"/>
      <w:szCs w:val="72"/>
      <w:lang w:val="en-US"/>
    </w:rPr>
  </w:style>
  <w:style w:type="character" w:customStyle="1" w:styleId="TitleChar">
    <w:name w:val="Title Char"/>
    <w:basedOn w:val="DefaultParagraphFont"/>
    <w:link w:val="Title"/>
    <w:rsid w:val="00C372A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372A2"/>
    <w:pPr>
      <w:tabs>
        <w:tab w:val="left" w:pos="3600"/>
        <w:tab w:val="left" w:pos="3958"/>
      </w:tabs>
    </w:pPr>
  </w:style>
  <w:style w:type="paragraph" w:customStyle="1" w:styleId="Note">
    <w:name w:val="Note"/>
    <w:basedOn w:val="BodyText"/>
    <w:rsid w:val="00C372A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372A2"/>
    <w:pPr>
      <w:framePr w:wrap="auto" w:hAnchor="text" w:y="6049"/>
    </w:pPr>
    <w:rPr>
      <w:color w:val="000000"/>
      <w:sz w:val="40"/>
    </w:rPr>
  </w:style>
  <w:style w:type="paragraph" w:customStyle="1" w:styleId="TOCTitle">
    <w:name w:val="TOCTitle"/>
    <w:basedOn w:val="Heading1"/>
    <w:rsid w:val="00C372A2"/>
    <w:pPr>
      <w:spacing w:after="240"/>
      <w:jc w:val="center"/>
      <w:outlineLvl w:val="9"/>
    </w:pPr>
    <w:rPr>
      <w:caps/>
    </w:rPr>
  </w:style>
  <w:style w:type="paragraph" w:customStyle="1" w:styleId="Version">
    <w:name w:val="Version"/>
    <w:rsid w:val="00C372A2"/>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C372A2"/>
    <w:pPr>
      <w:numPr>
        <w:numId w:val="12"/>
      </w:numPr>
      <w:tabs>
        <w:tab w:val="clear" w:pos="680"/>
      </w:tabs>
    </w:pPr>
  </w:style>
  <w:style w:type="paragraph" w:styleId="Index1">
    <w:name w:val="index 1"/>
    <w:basedOn w:val="Normal"/>
    <w:next w:val="Normal"/>
    <w:semiHidden/>
    <w:rsid w:val="00C372A2"/>
    <w:pPr>
      <w:keepNext w:val="0"/>
      <w:tabs>
        <w:tab w:val="right" w:pos="4176"/>
      </w:tabs>
      <w:ind w:left="198" w:hanging="198"/>
    </w:pPr>
    <w:rPr>
      <w:rFonts w:ascii="Garamond" w:hAnsi="Garamond"/>
    </w:rPr>
  </w:style>
  <w:style w:type="paragraph" w:styleId="IndexHeading">
    <w:name w:val="index heading"/>
    <w:basedOn w:val="Normal"/>
    <w:next w:val="Index1"/>
    <w:semiHidden/>
    <w:rsid w:val="00C372A2"/>
    <w:pPr>
      <w:spacing w:before="120" w:after="120"/>
    </w:pPr>
    <w:rPr>
      <w:rFonts w:ascii="Arial" w:hAnsi="Arial"/>
      <w:b/>
      <w:color w:val="918585"/>
      <w:sz w:val="24"/>
    </w:rPr>
  </w:style>
  <w:style w:type="paragraph" w:styleId="Header">
    <w:name w:val="header"/>
    <w:basedOn w:val="Normal"/>
    <w:link w:val="HeaderChar"/>
    <w:rsid w:val="00C372A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372A2"/>
    <w:rPr>
      <w:rFonts w:ascii="Times New Roman" w:eastAsia="Times New Roman" w:hAnsi="Times New Roman" w:cs="Times New Roman"/>
      <w:sz w:val="16"/>
      <w:szCs w:val="20"/>
      <w:lang w:val="en-GB" w:eastAsia="en-US"/>
    </w:rPr>
  </w:style>
  <w:style w:type="paragraph" w:customStyle="1" w:styleId="Chapter">
    <w:name w:val="Chapter"/>
    <w:basedOn w:val="Normal"/>
    <w:rsid w:val="00C372A2"/>
    <w:pPr>
      <w:spacing w:before="240"/>
    </w:pPr>
    <w:rPr>
      <w:rFonts w:ascii="Times New Roman" w:hAnsi="Times New Roman"/>
      <w:smallCaps/>
      <w:spacing w:val="80"/>
      <w:sz w:val="28"/>
    </w:rPr>
  </w:style>
  <w:style w:type="paragraph" w:customStyle="1" w:styleId="InChapter">
    <w:name w:val="InChapter"/>
    <w:basedOn w:val="Heading3"/>
    <w:rsid w:val="00C372A2"/>
    <w:pPr>
      <w:spacing w:after="240"/>
      <w:outlineLvl w:val="9"/>
    </w:pPr>
    <w:rPr>
      <w:noProof/>
    </w:rPr>
  </w:style>
  <w:style w:type="paragraph" w:styleId="Index2">
    <w:name w:val="index 2"/>
    <w:basedOn w:val="Normal"/>
    <w:next w:val="Normal"/>
    <w:semiHidden/>
    <w:rsid w:val="00C372A2"/>
    <w:pPr>
      <w:tabs>
        <w:tab w:val="right" w:pos="4176"/>
      </w:tabs>
      <w:ind w:left="568" w:hanging="284"/>
    </w:pPr>
    <w:rPr>
      <w:rFonts w:ascii="Garamond" w:hAnsi="Garamond"/>
    </w:rPr>
  </w:style>
  <w:style w:type="paragraph" w:customStyle="1" w:styleId="Byline">
    <w:name w:val="Byline"/>
    <w:rsid w:val="00C372A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372A2"/>
    <w:pPr>
      <w:tabs>
        <w:tab w:val="clear" w:pos="3600"/>
        <w:tab w:val="clear" w:pos="3958"/>
      </w:tabs>
      <w:jc w:val="right"/>
    </w:pPr>
  </w:style>
  <w:style w:type="paragraph" w:styleId="Caption">
    <w:name w:val="caption"/>
    <w:basedOn w:val="BodyText"/>
    <w:next w:val="Normal"/>
    <w:qFormat/>
    <w:rsid w:val="00C372A2"/>
    <w:pPr>
      <w:framePr w:w="2268" w:hSpace="181" w:vSpace="181" w:wrap="around" w:vAnchor="text" w:hAnchor="page" w:x="1135" w:y="285" w:anchorLock="1"/>
    </w:pPr>
    <w:rPr>
      <w:i/>
    </w:rPr>
  </w:style>
  <w:style w:type="paragraph" w:customStyle="1" w:styleId="MiniTOCTitle">
    <w:name w:val="MiniTOCTitle"/>
    <w:basedOn w:val="Heading4"/>
    <w:rsid w:val="00C372A2"/>
    <w:pPr>
      <w:spacing w:before="240"/>
      <w:outlineLvl w:val="9"/>
    </w:pPr>
    <w:rPr>
      <w:noProof/>
      <w:sz w:val="24"/>
    </w:rPr>
  </w:style>
  <w:style w:type="paragraph" w:customStyle="1" w:styleId="MiniTOCItem">
    <w:name w:val="MiniTOCItem"/>
    <w:basedOn w:val="ListBullet"/>
    <w:rsid w:val="00C372A2"/>
    <w:pPr>
      <w:numPr>
        <w:numId w:val="0"/>
      </w:numPr>
      <w:tabs>
        <w:tab w:val="right" w:leader="dot" w:pos="6521"/>
      </w:tabs>
      <w:spacing w:before="0" w:after="0"/>
    </w:pPr>
  </w:style>
  <w:style w:type="paragraph" w:customStyle="1" w:styleId="TOFTitle">
    <w:name w:val="TOFTitle"/>
    <w:basedOn w:val="TOCTitle"/>
    <w:rsid w:val="00C372A2"/>
  </w:style>
  <w:style w:type="paragraph" w:styleId="TableofFigures">
    <w:name w:val="table of figures"/>
    <w:basedOn w:val="Normal"/>
    <w:next w:val="Normal"/>
    <w:semiHidden/>
    <w:rsid w:val="00C372A2"/>
    <w:pPr>
      <w:tabs>
        <w:tab w:val="right" w:leader="dot" w:pos="9072"/>
      </w:tabs>
      <w:ind w:left="970" w:hanging="403"/>
    </w:pPr>
    <w:rPr>
      <w:rFonts w:ascii="Times New Roman" w:hAnsi="Times New Roman"/>
      <w:b/>
    </w:rPr>
  </w:style>
  <w:style w:type="paragraph" w:styleId="ListNumber">
    <w:name w:val="List Number"/>
    <w:basedOn w:val="List"/>
    <w:rsid w:val="00C372A2"/>
    <w:pPr>
      <w:numPr>
        <w:numId w:val="14"/>
      </w:numPr>
      <w:tabs>
        <w:tab w:val="clear" w:pos="340"/>
      </w:tabs>
    </w:pPr>
  </w:style>
  <w:style w:type="character" w:customStyle="1" w:styleId="WingdingSymbols">
    <w:name w:val="Wingding Symbols"/>
    <w:rsid w:val="00C372A2"/>
    <w:rPr>
      <w:rFonts w:ascii="Wingdings" w:hAnsi="Wingdings"/>
    </w:rPr>
  </w:style>
  <w:style w:type="paragraph" w:customStyle="1" w:styleId="TableHeading">
    <w:name w:val="Table Heading"/>
    <w:basedOn w:val="HeadingBase"/>
    <w:rsid w:val="00C372A2"/>
    <w:pPr>
      <w:keepLines/>
      <w:pBdr>
        <w:bottom w:val="single" w:sz="6" w:space="1" w:color="918585"/>
      </w:pBdr>
      <w:spacing w:before="240"/>
    </w:pPr>
  </w:style>
  <w:style w:type="character" w:customStyle="1" w:styleId="HotSpot">
    <w:name w:val="HotSpot"/>
    <w:rsid w:val="00C372A2"/>
    <w:rPr>
      <w:color w:val="0033CC"/>
      <w:u w:val="none"/>
    </w:rPr>
  </w:style>
  <w:style w:type="paragraph" w:customStyle="1" w:styleId="BodyTextRight">
    <w:name w:val="Body Text Right"/>
    <w:basedOn w:val="BodyText"/>
    <w:rsid w:val="00C372A2"/>
    <w:pPr>
      <w:spacing w:before="0" w:after="0"/>
      <w:jc w:val="right"/>
    </w:pPr>
  </w:style>
  <w:style w:type="paragraph" w:styleId="Index3">
    <w:name w:val="index 3"/>
    <w:basedOn w:val="ListNumber2"/>
    <w:next w:val="Normal"/>
    <w:semiHidden/>
    <w:rsid w:val="00C372A2"/>
    <w:pPr>
      <w:numPr>
        <w:numId w:val="0"/>
      </w:numPr>
      <w:tabs>
        <w:tab w:val="right" w:leader="dot" w:pos="4176"/>
      </w:tabs>
    </w:pPr>
  </w:style>
  <w:style w:type="paragraph" w:styleId="ListNumber2">
    <w:name w:val="List Number 2"/>
    <w:basedOn w:val="List2"/>
    <w:rsid w:val="00C372A2"/>
    <w:pPr>
      <w:numPr>
        <w:numId w:val="9"/>
      </w:numPr>
      <w:tabs>
        <w:tab w:val="clear" w:pos="1060"/>
      </w:tabs>
    </w:pPr>
  </w:style>
  <w:style w:type="paragraph" w:customStyle="1" w:styleId="MarginNote">
    <w:name w:val="Margin Note"/>
    <w:basedOn w:val="BodyText"/>
    <w:rsid w:val="00C372A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372A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372A2"/>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C372A2"/>
    <w:rPr>
      <w:sz w:val="32"/>
    </w:rPr>
  </w:style>
  <w:style w:type="paragraph" w:customStyle="1" w:styleId="HeadingProcedure">
    <w:name w:val="Heading Procedure"/>
    <w:basedOn w:val="HeadingBase"/>
    <w:next w:val="Normal"/>
    <w:rsid w:val="00C372A2"/>
    <w:pPr>
      <w:tabs>
        <w:tab w:val="left" w:pos="0"/>
      </w:tabs>
      <w:spacing w:before="120" w:after="60"/>
    </w:pPr>
    <w:rPr>
      <w:i/>
      <w:color w:val="918585"/>
      <w:sz w:val="22"/>
    </w:rPr>
  </w:style>
  <w:style w:type="paragraph" w:customStyle="1" w:styleId="TableBodyText">
    <w:name w:val="Table Body Text"/>
    <w:basedOn w:val="BodyText"/>
    <w:rsid w:val="00C372A2"/>
    <w:pPr>
      <w:spacing w:before="60" w:after="60"/>
    </w:pPr>
  </w:style>
  <w:style w:type="paragraph" w:styleId="ListContinue">
    <w:name w:val="List Continue"/>
    <w:basedOn w:val="List"/>
    <w:rsid w:val="00C372A2"/>
    <w:pPr>
      <w:ind w:firstLine="0"/>
    </w:pPr>
  </w:style>
  <w:style w:type="paragraph" w:customStyle="1" w:styleId="ListNote">
    <w:name w:val="List Note"/>
    <w:basedOn w:val="List"/>
    <w:rsid w:val="00C372A2"/>
    <w:pPr>
      <w:pBdr>
        <w:top w:val="single" w:sz="6" w:space="2" w:color="918585"/>
        <w:bottom w:val="single" w:sz="6" w:space="2" w:color="918585"/>
      </w:pBdr>
      <w:tabs>
        <w:tab w:val="left" w:pos="1021"/>
      </w:tabs>
      <w:ind w:firstLine="0"/>
    </w:pPr>
  </w:style>
  <w:style w:type="paragraph" w:customStyle="1" w:styleId="Warning">
    <w:name w:val="Warning"/>
    <w:basedOn w:val="BodyText"/>
    <w:rsid w:val="00C372A2"/>
    <w:pPr>
      <w:shd w:val="clear" w:color="auto" w:fill="D9D9D9"/>
      <w:tabs>
        <w:tab w:val="left" w:pos="992"/>
      </w:tabs>
      <w:ind w:left="119" w:right="119"/>
    </w:pPr>
    <w:rPr>
      <w:sz w:val="20"/>
    </w:rPr>
  </w:style>
  <w:style w:type="paragraph" w:customStyle="1" w:styleId="MarginIcons">
    <w:name w:val="Margin Icons"/>
    <w:basedOn w:val="BodyText"/>
    <w:rsid w:val="00C372A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372A2"/>
    <w:rPr>
      <w:rFonts w:ascii="Courier New" w:hAnsi="Courier New"/>
    </w:rPr>
  </w:style>
  <w:style w:type="paragraph" w:customStyle="1" w:styleId="NoteBullet">
    <w:name w:val="Note Bullet"/>
    <w:basedOn w:val="Note"/>
    <w:rsid w:val="00C372A2"/>
    <w:pPr>
      <w:tabs>
        <w:tab w:val="clear" w:pos="680"/>
      </w:tabs>
      <w:spacing w:before="60" w:after="60"/>
    </w:pPr>
  </w:style>
  <w:style w:type="paragraph" w:customStyle="1" w:styleId="SubHeading2">
    <w:name w:val="SubHeading2"/>
    <w:basedOn w:val="HeadingBase"/>
    <w:rsid w:val="00C372A2"/>
    <w:pPr>
      <w:spacing w:before="240" w:after="60"/>
    </w:pPr>
    <w:rPr>
      <w:sz w:val="20"/>
    </w:rPr>
  </w:style>
  <w:style w:type="paragraph" w:customStyle="1" w:styleId="SubHeading1">
    <w:name w:val="SubHeading1"/>
    <w:basedOn w:val="HeadingBase"/>
    <w:rsid w:val="00C372A2"/>
    <w:pPr>
      <w:spacing w:before="240" w:after="60"/>
    </w:pPr>
    <w:rPr>
      <w:color w:val="918585"/>
      <w:sz w:val="22"/>
    </w:rPr>
  </w:style>
  <w:style w:type="paragraph" w:customStyle="1" w:styleId="SideHeading">
    <w:name w:val="Side Heading"/>
    <w:basedOn w:val="HeadingBase"/>
    <w:rsid w:val="00C372A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372A2"/>
    <w:pPr>
      <w:numPr>
        <w:numId w:val="10"/>
      </w:numPr>
    </w:pPr>
  </w:style>
  <w:style w:type="paragraph" w:styleId="PlainText">
    <w:name w:val="Plain Text"/>
    <w:basedOn w:val="Normal"/>
    <w:link w:val="PlainTextChar"/>
    <w:rsid w:val="00C372A2"/>
    <w:rPr>
      <w:sz w:val="20"/>
    </w:rPr>
  </w:style>
  <w:style w:type="character" w:customStyle="1" w:styleId="PlainTextChar">
    <w:name w:val="Plain Text Char"/>
    <w:basedOn w:val="DefaultParagraphFont"/>
    <w:link w:val="PlainText"/>
    <w:rsid w:val="00C372A2"/>
    <w:rPr>
      <w:rFonts w:ascii="Courier New" w:eastAsia="Times New Roman" w:hAnsi="Courier New" w:cs="Times New Roman"/>
      <w:sz w:val="20"/>
      <w:szCs w:val="20"/>
      <w:lang w:eastAsia="en-US"/>
    </w:rPr>
  </w:style>
  <w:style w:type="character" w:customStyle="1" w:styleId="MenuOption">
    <w:name w:val="Menu Option"/>
    <w:basedOn w:val="DefaultParagraphFont"/>
    <w:rsid w:val="00C372A2"/>
    <w:rPr>
      <w:b/>
      <w:smallCaps/>
    </w:rPr>
  </w:style>
  <w:style w:type="paragraph" w:customStyle="1" w:styleId="TableListNumber">
    <w:name w:val="Table List Number"/>
    <w:basedOn w:val="ListNumber"/>
    <w:rsid w:val="00C372A2"/>
    <w:pPr>
      <w:numPr>
        <w:numId w:val="0"/>
      </w:numPr>
    </w:pPr>
  </w:style>
  <w:style w:type="paragraph" w:styleId="TOC4">
    <w:name w:val="toc 4"/>
    <w:basedOn w:val="TOCBase"/>
    <w:next w:val="Normal"/>
    <w:semiHidden/>
    <w:rsid w:val="00C372A2"/>
    <w:pPr>
      <w:tabs>
        <w:tab w:val="right" w:leader="dot" w:pos="9071"/>
      </w:tabs>
      <w:ind w:left="1701"/>
    </w:pPr>
  </w:style>
  <w:style w:type="paragraph" w:customStyle="1" w:styleId="ListAlpha">
    <w:name w:val="List Alpha"/>
    <w:basedOn w:val="List"/>
    <w:rsid w:val="00C372A2"/>
    <w:pPr>
      <w:numPr>
        <w:numId w:val="8"/>
      </w:numPr>
    </w:pPr>
  </w:style>
  <w:style w:type="paragraph" w:customStyle="1" w:styleId="ListAlpha2">
    <w:name w:val="List Alpha 2"/>
    <w:basedOn w:val="List2"/>
    <w:rsid w:val="00C372A2"/>
    <w:pPr>
      <w:numPr>
        <w:numId w:val="7"/>
      </w:numPr>
    </w:pPr>
  </w:style>
  <w:style w:type="paragraph" w:styleId="List3">
    <w:name w:val="List 3"/>
    <w:basedOn w:val="BodyText"/>
    <w:rsid w:val="00C372A2"/>
    <w:pPr>
      <w:tabs>
        <w:tab w:val="left" w:pos="1021"/>
      </w:tabs>
      <w:spacing w:before="60" w:after="60"/>
      <w:ind w:left="1020" w:hanging="340"/>
    </w:pPr>
  </w:style>
  <w:style w:type="paragraph" w:styleId="List4">
    <w:name w:val="List 4"/>
    <w:basedOn w:val="BodyText"/>
    <w:rsid w:val="00C372A2"/>
    <w:pPr>
      <w:tabs>
        <w:tab w:val="left" w:pos="1361"/>
      </w:tabs>
      <w:spacing w:before="60" w:after="60"/>
      <w:ind w:left="1361" w:hanging="340"/>
    </w:pPr>
  </w:style>
  <w:style w:type="paragraph" w:styleId="List5">
    <w:name w:val="List 5"/>
    <w:basedOn w:val="BodyText"/>
    <w:rsid w:val="00C372A2"/>
    <w:pPr>
      <w:tabs>
        <w:tab w:val="left" w:pos="1701"/>
      </w:tabs>
      <w:spacing w:before="60" w:after="60"/>
      <w:ind w:left="1701" w:hanging="340"/>
    </w:pPr>
  </w:style>
  <w:style w:type="paragraph" w:styleId="ListBullet3">
    <w:name w:val="List Bullet 3"/>
    <w:basedOn w:val="List3"/>
    <w:rsid w:val="00C372A2"/>
    <w:pPr>
      <w:numPr>
        <w:numId w:val="13"/>
      </w:numPr>
      <w:tabs>
        <w:tab w:val="clear" w:pos="1021"/>
      </w:tabs>
      <w:ind w:left="1037" w:hanging="357"/>
    </w:pPr>
  </w:style>
  <w:style w:type="paragraph" w:styleId="ListBullet4">
    <w:name w:val="List Bullet 4"/>
    <w:basedOn w:val="List4"/>
    <w:rsid w:val="00C372A2"/>
    <w:pPr>
      <w:numPr>
        <w:numId w:val="2"/>
      </w:numPr>
      <w:tabs>
        <w:tab w:val="clear" w:pos="1361"/>
      </w:tabs>
    </w:pPr>
  </w:style>
  <w:style w:type="paragraph" w:styleId="ListBullet5">
    <w:name w:val="List Bullet 5"/>
    <w:basedOn w:val="List5"/>
    <w:rsid w:val="00C372A2"/>
    <w:pPr>
      <w:numPr>
        <w:numId w:val="3"/>
      </w:numPr>
    </w:pPr>
  </w:style>
  <w:style w:type="paragraph" w:styleId="ListContinue2">
    <w:name w:val="List Continue 2"/>
    <w:basedOn w:val="List2"/>
    <w:rsid w:val="00C372A2"/>
    <w:pPr>
      <w:ind w:firstLine="0"/>
    </w:pPr>
  </w:style>
  <w:style w:type="paragraph" w:styleId="ListContinue3">
    <w:name w:val="List Continue 3"/>
    <w:basedOn w:val="List3"/>
    <w:rsid w:val="00C372A2"/>
    <w:pPr>
      <w:ind w:left="1021" w:firstLine="0"/>
    </w:pPr>
  </w:style>
  <w:style w:type="paragraph" w:styleId="ListContinue4">
    <w:name w:val="List Continue 4"/>
    <w:basedOn w:val="List4"/>
    <w:rsid w:val="00C372A2"/>
    <w:pPr>
      <w:ind w:firstLine="0"/>
    </w:pPr>
  </w:style>
  <w:style w:type="paragraph" w:styleId="ListContinue5">
    <w:name w:val="List Continue 5"/>
    <w:basedOn w:val="List5"/>
    <w:rsid w:val="00C372A2"/>
    <w:pPr>
      <w:ind w:firstLine="0"/>
    </w:pPr>
  </w:style>
  <w:style w:type="paragraph" w:styleId="ListNumber3">
    <w:name w:val="List Number 3"/>
    <w:basedOn w:val="List3"/>
    <w:rsid w:val="00C372A2"/>
    <w:pPr>
      <w:numPr>
        <w:numId w:val="4"/>
      </w:numPr>
    </w:pPr>
  </w:style>
  <w:style w:type="paragraph" w:styleId="ListNumber4">
    <w:name w:val="List Number 4"/>
    <w:basedOn w:val="List4"/>
    <w:rsid w:val="00C372A2"/>
    <w:pPr>
      <w:numPr>
        <w:numId w:val="5"/>
      </w:numPr>
    </w:pPr>
  </w:style>
  <w:style w:type="paragraph" w:styleId="ListNumber5">
    <w:name w:val="List Number 5"/>
    <w:basedOn w:val="List5"/>
    <w:rsid w:val="00C372A2"/>
    <w:pPr>
      <w:numPr>
        <w:numId w:val="6"/>
      </w:numPr>
    </w:pPr>
  </w:style>
  <w:style w:type="paragraph" w:styleId="BlockText">
    <w:name w:val="Block Text"/>
    <w:basedOn w:val="Normal"/>
    <w:rsid w:val="00C372A2"/>
    <w:pPr>
      <w:spacing w:after="120"/>
      <w:ind w:left="1440" w:right="1440"/>
    </w:pPr>
  </w:style>
  <w:style w:type="character" w:customStyle="1" w:styleId="Subscript">
    <w:name w:val="Subscript"/>
    <w:basedOn w:val="DefaultParagraphFont"/>
    <w:rsid w:val="00C372A2"/>
    <w:rPr>
      <w:sz w:val="16"/>
      <w:vertAlign w:val="subscript"/>
    </w:rPr>
  </w:style>
  <w:style w:type="character" w:customStyle="1" w:styleId="Superscript">
    <w:name w:val="Superscript"/>
    <w:basedOn w:val="DefaultParagraphFont"/>
    <w:rsid w:val="00C372A2"/>
    <w:rPr>
      <w:sz w:val="16"/>
      <w:vertAlign w:val="superscript"/>
    </w:rPr>
  </w:style>
  <w:style w:type="character" w:customStyle="1" w:styleId="Symbols">
    <w:name w:val="Symbols"/>
    <w:basedOn w:val="DefaultParagraphFont"/>
    <w:rsid w:val="00C372A2"/>
    <w:rPr>
      <w:rFonts w:ascii="Symbol" w:hAnsi="Symbol"/>
    </w:rPr>
  </w:style>
  <w:style w:type="character" w:customStyle="1" w:styleId="MenuOptions">
    <w:name w:val="Menu Options"/>
    <w:basedOn w:val="DefaultParagraphFont"/>
    <w:rsid w:val="00C372A2"/>
    <w:rPr>
      <w:rFonts w:ascii="Arial Narrow" w:hAnsi="Arial Narrow"/>
      <w:smallCaps/>
    </w:rPr>
  </w:style>
  <w:style w:type="character" w:customStyle="1" w:styleId="Buttons">
    <w:name w:val="Buttons"/>
    <w:basedOn w:val="DefaultParagraphFont"/>
    <w:rsid w:val="00C372A2"/>
    <w:rPr>
      <w:b/>
    </w:rPr>
  </w:style>
  <w:style w:type="character" w:customStyle="1" w:styleId="Underlined">
    <w:name w:val="Underlined"/>
    <w:basedOn w:val="DefaultParagraphFont"/>
    <w:rsid w:val="00C372A2"/>
    <w:rPr>
      <w:u w:val="single"/>
    </w:rPr>
  </w:style>
  <w:style w:type="paragraph" w:customStyle="1" w:styleId="TableBodyTextRight">
    <w:name w:val="Table Body Text Right"/>
    <w:basedOn w:val="TableBodyText"/>
    <w:rsid w:val="00C372A2"/>
    <w:pPr>
      <w:widowControl w:val="0"/>
      <w:autoSpaceDE w:val="0"/>
      <w:autoSpaceDN w:val="0"/>
      <w:adjustRightInd w:val="0"/>
      <w:jc w:val="right"/>
    </w:pPr>
    <w:rPr>
      <w:rFonts w:cs="Arial"/>
      <w:szCs w:val="18"/>
    </w:rPr>
  </w:style>
  <w:style w:type="paragraph" w:customStyle="1" w:styleId="CopyrightText">
    <w:name w:val="Copyright Text"/>
    <w:basedOn w:val="BodyText"/>
    <w:rsid w:val="00C372A2"/>
    <w:rPr>
      <w:sz w:val="18"/>
    </w:rPr>
  </w:style>
  <w:style w:type="paragraph" w:customStyle="1" w:styleId="BodySmallRight">
    <w:name w:val="Body Small Right"/>
    <w:basedOn w:val="BodyTextRight"/>
    <w:rsid w:val="00C372A2"/>
    <w:rPr>
      <w:sz w:val="18"/>
      <w:szCs w:val="18"/>
    </w:rPr>
  </w:style>
  <w:style w:type="paragraph" w:customStyle="1" w:styleId="MarginEdition">
    <w:name w:val="Margin Edition"/>
    <w:basedOn w:val="MarginNote"/>
    <w:rsid w:val="00C372A2"/>
    <w:pPr>
      <w:spacing w:before="0" w:after="0"/>
    </w:pPr>
    <w:rPr>
      <w:rFonts w:ascii="Times New Roman" w:hAnsi="Times New Roman"/>
      <w:color w:val="999999"/>
    </w:rPr>
  </w:style>
  <w:style w:type="paragraph" w:customStyle="1" w:styleId="Spacer">
    <w:name w:val="Spacer"/>
    <w:basedOn w:val="Normal"/>
    <w:rsid w:val="00C372A2"/>
    <w:rPr>
      <w:sz w:val="2"/>
      <w:szCs w:val="2"/>
    </w:rPr>
  </w:style>
  <w:style w:type="character" w:customStyle="1" w:styleId="Small">
    <w:name w:val="Small"/>
    <w:basedOn w:val="DefaultParagraphFont"/>
    <w:rsid w:val="00C372A2"/>
    <w:rPr>
      <w:sz w:val="16"/>
    </w:rPr>
  </w:style>
  <w:style w:type="paragraph" w:customStyle="1" w:styleId="WideTable">
    <w:name w:val="Wide Table"/>
    <w:basedOn w:val="Normal"/>
    <w:rsid w:val="00C372A2"/>
    <w:pPr>
      <w:ind w:left="-1418"/>
    </w:pPr>
    <w:rPr>
      <w:sz w:val="2"/>
      <w:szCs w:val="2"/>
    </w:rPr>
  </w:style>
  <w:style w:type="character" w:styleId="PageNumber">
    <w:name w:val="page number"/>
    <w:basedOn w:val="DefaultParagraphFont"/>
    <w:rsid w:val="00C372A2"/>
  </w:style>
  <w:style w:type="paragraph" w:styleId="Quote">
    <w:name w:val="Quote"/>
    <w:basedOn w:val="Heading1"/>
    <w:link w:val="QuoteChar"/>
    <w:qFormat/>
    <w:rsid w:val="00C372A2"/>
    <w:rPr>
      <w:b w:val="0"/>
      <w:sz w:val="72"/>
      <w:szCs w:val="72"/>
      <w:lang w:val="en-NZ"/>
    </w:rPr>
  </w:style>
  <w:style w:type="character" w:customStyle="1" w:styleId="QuoteChar">
    <w:name w:val="Quote Char"/>
    <w:basedOn w:val="DefaultParagraphFont"/>
    <w:link w:val="Quote"/>
    <w:rsid w:val="00C372A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372A2"/>
    <w:pPr>
      <w:pageBreakBefore/>
    </w:pPr>
  </w:style>
  <w:style w:type="paragraph" w:customStyle="1" w:styleId="Border">
    <w:name w:val="Border"/>
    <w:basedOn w:val="Normal"/>
    <w:qFormat/>
    <w:rsid w:val="00C372A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372A2"/>
    <w:rPr>
      <w:b/>
      <w:bCs/>
      <w:i/>
      <w:iCs/>
      <w:color w:val="auto"/>
    </w:rPr>
  </w:style>
  <w:style w:type="paragraph" w:styleId="IntenseQuote">
    <w:name w:val="Intense Quote"/>
    <w:basedOn w:val="Normal"/>
    <w:next w:val="Normal"/>
    <w:link w:val="IntenseQuoteChar"/>
    <w:uiPriority w:val="30"/>
    <w:qFormat/>
    <w:rsid w:val="00C372A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372A2"/>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C372A2"/>
    <w:rPr>
      <w:smallCaps/>
      <w:color w:val="auto"/>
      <w:u w:val="single"/>
    </w:rPr>
  </w:style>
  <w:style w:type="character" w:styleId="IntenseReference">
    <w:name w:val="Intense Reference"/>
    <w:basedOn w:val="DefaultParagraphFont"/>
    <w:uiPriority w:val="32"/>
    <w:qFormat/>
    <w:rsid w:val="00C372A2"/>
    <w:rPr>
      <w:b/>
      <w:bCs/>
      <w:smallCaps/>
      <w:color w:val="auto"/>
      <w:spacing w:val="5"/>
      <w:u w:val="single"/>
    </w:rPr>
  </w:style>
  <w:style w:type="paragraph" w:customStyle="1" w:styleId="2ColumnHeading">
    <w:name w:val="2Column Heading"/>
    <w:basedOn w:val="BodyText"/>
    <w:qFormat/>
    <w:rsid w:val="00C372A2"/>
    <w:pPr>
      <w:spacing w:after="60"/>
      <w:ind w:left="-2268"/>
    </w:pPr>
    <w:rPr>
      <w:b/>
    </w:rPr>
  </w:style>
  <w:style w:type="paragraph" w:customStyle="1" w:styleId="Heading1TOC">
    <w:name w:val="Heading1 TOC"/>
    <w:basedOn w:val="Normal"/>
    <w:qFormat/>
    <w:rsid w:val="00C372A2"/>
    <w:pPr>
      <w:spacing w:before="240" w:after="120"/>
    </w:pPr>
    <w:rPr>
      <w:rFonts w:ascii="Times New Roman" w:hAnsi="Times New Roman"/>
      <w:b/>
      <w:sz w:val="32"/>
    </w:rPr>
  </w:style>
  <w:style w:type="paragraph" w:customStyle="1" w:styleId="Heading2TOC">
    <w:name w:val="Heading2 TOC"/>
    <w:basedOn w:val="Normal"/>
    <w:qFormat/>
    <w:rsid w:val="00C372A2"/>
    <w:pPr>
      <w:spacing w:before="240" w:after="60"/>
    </w:pPr>
    <w:rPr>
      <w:rFonts w:ascii="Times New Roman" w:hAnsi="Times New Roman"/>
      <w:b/>
      <w:sz w:val="28"/>
    </w:rPr>
  </w:style>
  <w:style w:type="character" w:customStyle="1" w:styleId="Underline">
    <w:name w:val="Underline"/>
    <w:basedOn w:val="DefaultParagraphFont"/>
    <w:qFormat/>
    <w:rsid w:val="00C372A2"/>
    <w:rPr>
      <w:u w:val="single"/>
    </w:rPr>
  </w:style>
  <w:style w:type="character" w:customStyle="1" w:styleId="BoldandItalics">
    <w:name w:val="Bold and Italics"/>
    <w:qFormat/>
    <w:rsid w:val="00C372A2"/>
    <w:rPr>
      <w:b/>
      <w:i/>
      <w:u w:val="none"/>
    </w:rPr>
  </w:style>
  <w:style w:type="paragraph" w:styleId="BalloonText">
    <w:name w:val="Balloon Text"/>
    <w:basedOn w:val="Normal"/>
    <w:link w:val="BalloonTextChar"/>
    <w:rsid w:val="00C372A2"/>
    <w:rPr>
      <w:rFonts w:ascii="Tahoma" w:hAnsi="Tahoma" w:cs="Tahoma"/>
      <w:sz w:val="16"/>
      <w:szCs w:val="16"/>
    </w:rPr>
  </w:style>
  <w:style w:type="character" w:customStyle="1" w:styleId="BalloonTextChar">
    <w:name w:val="Balloon Text Char"/>
    <w:basedOn w:val="DefaultParagraphFont"/>
    <w:link w:val="BalloonText"/>
    <w:rsid w:val="00C372A2"/>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C372A2"/>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C372A2"/>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C372A2"/>
    <w:rPr>
      <w:b/>
      <w:color w:val="660033"/>
      <w:spacing w:val="0"/>
    </w:rPr>
  </w:style>
  <w:style w:type="paragraph" w:customStyle="1" w:styleId="Nameditemlist">
    <w:name w:val="Named item list"/>
    <w:basedOn w:val="BodyText"/>
    <w:qFormat/>
    <w:rsid w:val="00C372A2"/>
    <w:pPr>
      <w:tabs>
        <w:tab w:val="left" w:pos="2835"/>
      </w:tabs>
      <w:ind w:left="2835" w:hanging="2835"/>
    </w:pPr>
  </w:style>
  <w:style w:type="paragraph" w:customStyle="1" w:styleId="BodyTextnopadding">
    <w:name w:val="Body Text no padding"/>
    <w:basedOn w:val="BodyText"/>
    <w:qFormat/>
    <w:rsid w:val="00C372A2"/>
    <w:pPr>
      <w:spacing w:before="0" w:after="0"/>
    </w:pPr>
  </w:style>
  <w:style w:type="paragraph" w:customStyle="1" w:styleId="BodyTextBold">
    <w:name w:val="Body Text Bold"/>
    <w:basedOn w:val="BodyText"/>
    <w:qFormat/>
    <w:rsid w:val="00C372A2"/>
    <w:rPr>
      <w:b/>
    </w:rPr>
  </w:style>
  <w:style w:type="character" w:styleId="Hyperlink">
    <w:name w:val="Hyperlink"/>
    <w:basedOn w:val="DefaultParagraphFont"/>
    <w:uiPriority w:val="99"/>
    <w:unhideWhenUsed/>
    <w:rsid w:val="00397C76"/>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815</Words>
  <Characters>5373</Characters>
  <Application>Microsoft Office Word</Application>
  <DocSecurity>0</DocSecurity>
  <Lines>141</Lines>
  <Paragraphs>93</Paragraphs>
  <ScaleCrop>false</ScaleCrop>
  <Company>Author-it Software Corporation Ltd.</Company>
  <LinksUpToDate>false</LinksUpToDate>
  <CharactersWithSpaces>6095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FNSRSK612 Determine and manage risk exposure strategies</dc:title>
  <dc:subject>Approved</dc:subject>
  <dc:creator>PwC’s Skills for Australia</dc:creator>
  <cp:keywords>Release: 1</cp:keywords>
  <dc:description>Review Date: 12 April 2008</dc:description>
  <cp:lastModifiedBy>HSD_TPCMSd.prod</cp:lastModifiedBy>
  <cp:revision>3</cp:revision>
  <dcterms:created xsi:type="dcterms:W3CDTF">2022-11-03T07:33:00Z</dcterms:created>
  <dcterms:modified xsi:type="dcterms:W3CDTF">2022-11-03T07:33:00Z</dcterms:modified>
</cp:coreProperties>
</file>