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289C" w:rsidP="003528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FNSRSK602 Determine and manage risk exposure strategies</w:t>
      </w:r>
      <w:r>
        <w:fldChar w:fldCharType="end"/>
      </w:r>
    </w:p>
    <w:p w:rsidR="0035289C" w:rsidP="0035289C">
      <w:pPr>
        <w:pStyle w:val="Version"/>
        <w:sectPr w:rsidSect="00737E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7E8A" w:rsidP="00737E8A">
      <w:pPr>
        <w:pStyle w:val="SuperHeading"/>
      </w:pPr>
      <w:r w:rsidRPr="00737E8A">
        <w:t>Assessment Requirements for FNSRSK602 Determine and manage risk exposure strategies</w:t>
      </w:r>
    </w:p>
    <w:p w:rsidR="00000000" w:rsidRPr="00737E8A" w:rsidP="00737E8A">
      <w:pPr>
        <w:pStyle w:val="Heading1"/>
      </w:pPr>
      <w:bookmarkStart w:id="1" w:name="O_697368"/>
      <w:bookmarkEnd w:id="1"/>
      <w:r w:rsidRPr="00737E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37E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E8A" w:rsidP="00737E8A">
            <w:pPr>
              <w:pStyle w:val="BodyText"/>
            </w:pPr>
            <w:r w:rsidRPr="00737E8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E8A">
            <w:pPr>
              <w:pStyle w:val="BodyText"/>
              <w:rPr>
                <w:lang w:val="en-NZ"/>
              </w:rPr>
            </w:pPr>
            <w:r w:rsidRPr="00737E8A">
              <w:rPr>
                <w:rStyle w:val="SpecialBold"/>
              </w:rPr>
              <w:t>Comments</w:t>
            </w:r>
          </w:p>
        </w:tc>
      </w:tr>
      <w:tr w:rsidTr="00737E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E8A">
            <w:pPr>
              <w:pStyle w:val="BodyText"/>
              <w:rPr>
                <w:lang w:val="en-NZ"/>
              </w:rPr>
            </w:pPr>
            <w:r w:rsidRPr="00737E8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E8A" w:rsidP="00737E8A">
            <w:pPr>
              <w:pStyle w:val="BodyText"/>
            </w:pPr>
            <w:r w:rsidRPr="00737E8A">
              <w:t>This version first released with FNS Financial Services Training Package Version 1.0.</w:t>
            </w:r>
          </w:p>
        </w:tc>
      </w:tr>
    </w:tbl>
    <w:p w:rsidR="00000000" w:rsidRPr="00737E8A" w:rsidP="00737E8A">
      <w:pPr>
        <w:pStyle w:val="BodyText"/>
      </w:pPr>
    </w:p>
    <w:p w:rsidR="00000000" w:rsidRPr="00737E8A" w:rsidP="00737E8A">
      <w:pPr>
        <w:pStyle w:val="AllowPageBreak"/>
      </w:pPr>
    </w:p>
    <w:p w:rsidR="00000000" w:rsidRPr="00737E8A" w:rsidP="00737E8A">
      <w:pPr>
        <w:pStyle w:val="Heading1"/>
      </w:pPr>
      <w:bookmarkStart w:id="2" w:name="O_697369"/>
      <w:bookmarkEnd w:id="2"/>
      <w:r w:rsidRPr="00737E8A">
        <w:t>Performance Evidence</w:t>
      </w:r>
    </w:p>
    <w:p w:rsidR="00000000" w:rsidRPr="00737E8A" w:rsidP="0035289C">
      <w:pPr>
        <w:pStyle w:val="BodyText"/>
      </w:pPr>
      <w:r w:rsidRPr="00737E8A">
        <w:t>Evidence of the ability to:</w:t>
      </w:r>
    </w:p>
    <w:p w:rsidR="00000000" w:rsidRPr="00737E8A" w:rsidP="00737E8A">
      <w:pPr>
        <w:pStyle w:val="ListBullet"/>
      </w:pPr>
      <w:r w:rsidRPr="00737E8A">
        <w:t>effectively communicate and document information, and liaise with relevant staff and stakeholders</w:t>
      </w:r>
    </w:p>
    <w:p w:rsidR="00000000" w:rsidRPr="00737E8A" w:rsidP="00737E8A">
      <w:pPr>
        <w:pStyle w:val="ListBullet"/>
      </w:pPr>
      <w:r w:rsidRPr="00737E8A">
        <w:t>develop risk acceptance criteria, identify high and low hazard financial and legislative risk areas, and dev</w:t>
      </w:r>
      <w:r w:rsidRPr="00737E8A">
        <w:t>elop appropriate risk mitigation strategies</w:t>
      </w:r>
    </w:p>
    <w:p w:rsidR="00000000" w:rsidRPr="00737E8A" w:rsidP="00737E8A">
      <w:pPr>
        <w:pStyle w:val="ListBullet"/>
      </w:pPr>
      <w:r w:rsidRPr="00737E8A">
        <w:t>manage the implementation strategy</w:t>
      </w:r>
    </w:p>
    <w:p w:rsidR="00000000" w:rsidRPr="00737E8A" w:rsidP="00737E8A">
      <w:pPr>
        <w:pStyle w:val="ListBullet"/>
      </w:pPr>
      <w:r w:rsidRPr="00737E8A">
        <w:t>monitor, evaluate and check the effectiveness of the risk management strategy.</w:t>
      </w:r>
    </w:p>
    <w:p w:rsidR="00000000" w:rsidRPr="00737E8A" w:rsidP="00737E8A">
      <w:pPr>
        <w:pStyle w:val="BodyText"/>
      </w:pPr>
    </w:p>
    <w:p w:rsidR="00000000" w:rsidRPr="00737E8A" w:rsidP="0035289C">
      <w:pPr>
        <w:pStyle w:val="BodyText"/>
      </w:pPr>
      <w:r w:rsidRPr="00737E8A">
        <w:t>Note: If a specific volume or frequency is not stated, then evidence must be provided at least once.</w:t>
      </w:r>
    </w:p>
    <w:p w:rsidR="00000000" w:rsidRPr="00737E8A" w:rsidP="00737E8A">
      <w:pPr>
        <w:pStyle w:val="Heading1"/>
      </w:pPr>
      <w:bookmarkStart w:id="3" w:name="O_697370"/>
      <w:bookmarkEnd w:id="3"/>
      <w:r w:rsidRPr="00737E8A">
        <w:t>Knowledge Evidence</w:t>
      </w:r>
    </w:p>
    <w:p w:rsidR="00000000" w:rsidRPr="00737E8A" w:rsidP="0035289C">
      <w:pPr>
        <w:pStyle w:val="BodyText"/>
      </w:pPr>
      <w:r w:rsidRPr="00737E8A">
        <w:t>To complete the unit requirements safely and effectively, the individual must:</w:t>
      </w:r>
    </w:p>
    <w:p w:rsidR="00000000" w:rsidRPr="00737E8A" w:rsidP="00737E8A">
      <w:pPr>
        <w:pStyle w:val="ListBullet"/>
      </w:pPr>
      <w:r w:rsidRPr="00737E8A">
        <w:t>identify and explain the key features a</w:t>
      </w:r>
      <w:r w:rsidRPr="00737E8A">
        <w:t>nd purpose of Australian standards as they relate to risk management</w:t>
      </w:r>
    </w:p>
    <w:p w:rsidR="00000000" w:rsidRPr="00737E8A" w:rsidP="00737E8A">
      <w:pPr>
        <w:pStyle w:val="ListBullet"/>
      </w:pPr>
      <w:r w:rsidRPr="00737E8A">
        <w:t>outline the key features of actuarial and financial principles and processes related to risk exposure strategies</w:t>
      </w:r>
    </w:p>
    <w:p w:rsidR="00000000" w:rsidRPr="00737E8A" w:rsidP="00737E8A">
      <w:pPr>
        <w:pStyle w:val="ListBullet"/>
      </w:pPr>
      <w:r w:rsidRPr="00737E8A">
        <w:t>analyse and discuss relevant industry hazards and risk exposures</w:t>
      </w:r>
    </w:p>
    <w:p w:rsidR="00000000" w:rsidRPr="00737E8A" w:rsidP="00737E8A">
      <w:pPr>
        <w:pStyle w:val="ListBullet"/>
      </w:pPr>
      <w:r w:rsidRPr="00737E8A">
        <w:t>compare a</w:t>
      </w:r>
      <w:r w:rsidRPr="00737E8A">
        <w:t>nd contrast risk assessment and prevention methods, and application</w:t>
      </w:r>
    </w:p>
    <w:p w:rsidR="00000000" w:rsidRPr="00737E8A" w:rsidP="00737E8A">
      <w:pPr>
        <w:pStyle w:val="ListBullet"/>
      </w:pPr>
      <w:r w:rsidRPr="00737E8A">
        <w:t>outline the key organisational products and services, and associated risks and liability loss exposures</w:t>
      </w:r>
    </w:p>
    <w:p w:rsidR="00000000" w:rsidRPr="00737E8A" w:rsidP="00737E8A">
      <w:pPr>
        <w:pStyle w:val="ListBullet"/>
      </w:pPr>
      <w:r w:rsidRPr="00737E8A">
        <w:t>describe the key features of industry sector compliance requirements</w:t>
      </w:r>
    </w:p>
    <w:p w:rsidR="00000000" w:rsidRPr="00737E8A" w:rsidP="00737E8A">
      <w:pPr>
        <w:pStyle w:val="ListBullet"/>
      </w:pPr>
      <w:r w:rsidRPr="00737E8A">
        <w:t>describe the ke</w:t>
      </w:r>
      <w:r w:rsidRPr="00737E8A">
        <w:t>y features of relevant legislation, regulatory guidelines and industry sector compliance requirements as they relate to:</w:t>
      </w:r>
    </w:p>
    <w:p w:rsidR="00000000" w:rsidRPr="00737E8A" w:rsidP="00737E8A">
      <w:pPr>
        <w:pStyle w:val="ListBullet2"/>
      </w:pPr>
      <w:r w:rsidRPr="00737E8A">
        <w:t>insurance contracts</w:t>
      </w:r>
    </w:p>
    <w:p w:rsidR="00000000" w:rsidRPr="00737E8A" w:rsidP="00737E8A">
      <w:pPr>
        <w:pStyle w:val="ListBullet2"/>
      </w:pPr>
      <w:r w:rsidRPr="00737E8A">
        <w:t>privacy</w:t>
      </w:r>
    </w:p>
    <w:p w:rsidR="00000000" w:rsidRPr="00737E8A" w:rsidP="00737E8A">
      <w:pPr>
        <w:pStyle w:val="ListBullet2"/>
      </w:pPr>
      <w:r w:rsidRPr="00737E8A">
        <w:t>consumer protection</w:t>
      </w:r>
    </w:p>
    <w:p w:rsidR="00000000" w:rsidRPr="00737E8A" w:rsidP="00737E8A">
      <w:pPr>
        <w:pStyle w:val="ListBullet2"/>
      </w:pPr>
      <w:r w:rsidRPr="00737E8A">
        <w:t>corporations</w:t>
      </w:r>
    </w:p>
    <w:p w:rsidR="00000000" w:rsidRPr="00737E8A" w:rsidP="00737E8A">
      <w:pPr>
        <w:pStyle w:val="ListBullet"/>
      </w:pPr>
      <w:r w:rsidRPr="00737E8A">
        <w:t>describe key features of organisational policy, procedures, gui</w:t>
      </w:r>
      <w:r w:rsidRPr="00737E8A">
        <w:t>delines and authorities related to risk management.</w:t>
      </w:r>
    </w:p>
    <w:p w:rsidR="00000000" w:rsidRPr="00737E8A" w:rsidP="00737E8A">
      <w:pPr>
        <w:pStyle w:val="AllowPageBreak"/>
      </w:pPr>
    </w:p>
    <w:p w:rsidR="00000000" w:rsidRPr="00737E8A" w:rsidP="00737E8A">
      <w:pPr>
        <w:pStyle w:val="Heading1"/>
      </w:pPr>
      <w:bookmarkStart w:id="4" w:name="O_697371"/>
      <w:bookmarkEnd w:id="4"/>
      <w:r w:rsidRPr="00737E8A">
        <w:t>Assessment Conditions</w:t>
      </w:r>
    </w:p>
    <w:p w:rsidR="00000000" w:rsidRPr="00737E8A" w:rsidP="0035289C">
      <w:pPr>
        <w:pStyle w:val="BodyText"/>
      </w:pPr>
      <w:r w:rsidRPr="00737E8A">
        <w:t>Assessment must be conducted in a safe environment where evidence gathered demonstrates consistent performance of typical activities experienced in the risk manageme</w:t>
      </w:r>
      <w:r w:rsidRPr="00737E8A">
        <w:t>nt field of work and include access to:</w:t>
      </w:r>
    </w:p>
    <w:p w:rsidR="00000000" w:rsidRPr="00737E8A" w:rsidP="00737E8A">
      <w:pPr>
        <w:pStyle w:val="ListBullet"/>
      </w:pPr>
      <w:r w:rsidRPr="00737E8A">
        <w:t>office equipment, technology, software and consumables</w:t>
      </w:r>
    </w:p>
    <w:p w:rsidR="00000000" w:rsidRPr="00737E8A" w:rsidP="00737E8A">
      <w:pPr>
        <w:pStyle w:val="ListBullet"/>
      </w:pPr>
      <w:r w:rsidRPr="00737E8A">
        <w:t>relevant legislation, regulations and codes of practice</w:t>
      </w:r>
    </w:p>
    <w:p w:rsidR="00000000" w:rsidRPr="00737E8A" w:rsidP="00737E8A">
      <w:pPr>
        <w:pStyle w:val="ListBullet"/>
      </w:pPr>
      <w:r w:rsidRPr="00737E8A">
        <w:t>relevant Australian standards relating to risk management</w:t>
      </w:r>
    </w:p>
    <w:p w:rsidR="00000000" w:rsidRPr="00737E8A" w:rsidP="00737E8A">
      <w:pPr>
        <w:pStyle w:val="ListBullet"/>
      </w:pPr>
      <w:r w:rsidRPr="00737E8A">
        <w:t>organisational and industry risk management do</w:t>
      </w:r>
      <w:r w:rsidRPr="00737E8A">
        <w:t>cumentation.</w:t>
      </w:r>
    </w:p>
    <w:p w:rsidR="00000000" w:rsidRPr="00737E8A" w:rsidP="00737E8A">
      <w:pPr>
        <w:pStyle w:val="BodyText"/>
      </w:pPr>
    </w:p>
    <w:p w:rsidR="00000000" w:rsidRPr="00737E8A" w:rsidP="0035289C">
      <w:pPr>
        <w:pStyle w:val="BodyText"/>
      </w:pPr>
      <w:r w:rsidRPr="00737E8A">
        <w:t>Assessors must satisfy NVR/AQTF assessor requirements.</w:t>
      </w:r>
    </w:p>
    <w:p w:rsidR="00000000" w:rsidRPr="00737E8A" w:rsidP="00737E8A">
      <w:pPr>
        <w:pStyle w:val="Heading1"/>
      </w:pPr>
      <w:bookmarkStart w:id="5" w:name="O_697374"/>
      <w:bookmarkEnd w:id="5"/>
      <w:r w:rsidRPr="00737E8A">
        <w:t>Links</w:t>
      </w:r>
    </w:p>
    <w:p w:rsidR="00000000" w:rsidRPr="00737E8A" w:rsidP="0035289C">
      <w:pPr>
        <w:pStyle w:val="BodyText"/>
      </w:pPr>
      <w:r w:rsidRPr="00737E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25C4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37E8A" w:rsidP="00737E8A"/>
    <w:sectPr w:rsidSect="00737E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E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E8A" w:rsidRPr="0035289C" w:rsidP="003528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E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89C" w:rsidP="00737E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5289C" w:rsidP="00737E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5289C" w:rsidP="00737E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E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8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7E8A" w:rsidRPr="0035289C" w:rsidP="003528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E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89C" w:rsidRPr="002D2AF8" w:rsidP="00737E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FNSRSK602 Determine and manage risk exposure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35289C" w:rsidP="00737E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12E1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7698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50C8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E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7E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7E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7E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7E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7E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7E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7E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7E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7E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7E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7E8A"/>
  </w:style>
  <w:style w:type="character" w:customStyle="1" w:styleId="Heading1Char">
    <w:name w:val="Heading 1 Char"/>
    <w:basedOn w:val="DefaultParagraphFont"/>
    <w:link w:val="Heading1"/>
    <w:rsid w:val="00737E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7E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7E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7E8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7E8A"/>
    <w:rPr>
      <w:b/>
      <w:spacing w:val="0"/>
    </w:rPr>
  </w:style>
  <w:style w:type="paragraph" w:styleId="ListBullet2">
    <w:name w:val="List Bullet 2"/>
    <w:basedOn w:val="List2"/>
    <w:rsid w:val="00737E8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7E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7E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7E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7E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7E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7E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7E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7E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7E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7E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7E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7E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7E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7E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7E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7E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7E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7E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7E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7E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7E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7E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7E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7E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7E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7E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7E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7E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7E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7E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7E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7E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7E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7E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7E8A"/>
    <w:rPr>
      <w:i/>
    </w:rPr>
  </w:style>
  <w:style w:type="paragraph" w:styleId="Caption">
    <w:name w:val="caption"/>
    <w:basedOn w:val="BodyText"/>
    <w:next w:val="Normal"/>
    <w:qFormat/>
    <w:rsid w:val="00737E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7E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7E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7E8A"/>
  </w:style>
  <w:style w:type="paragraph" w:styleId="TableofFigures">
    <w:name w:val="table of figures"/>
    <w:basedOn w:val="Normal"/>
    <w:next w:val="Normal"/>
    <w:semiHidden/>
    <w:rsid w:val="00737E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7E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7E8A"/>
    <w:rPr>
      <w:rFonts w:ascii="Wingdings" w:hAnsi="Wingdings"/>
    </w:rPr>
  </w:style>
  <w:style w:type="paragraph" w:customStyle="1" w:styleId="TableHeading">
    <w:name w:val="Table Heading"/>
    <w:basedOn w:val="HeadingBase"/>
    <w:rsid w:val="00737E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7E8A"/>
    <w:rPr>
      <w:color w:val="0033CC"/>
      <w:u w:val="none"/>
    </w:rPr>
  </w:style>
  <w:style w:type="paragraph" w:customStyle="1" w:styleId="BodyTextRight">
    <w:name w:val="Body Text Right"/>
    <w:basedOn w:val="BodyText"/>
    <w:rsid w:val="00737E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7E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7E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7E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7E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7E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7E8A"/>
    <w:rPr>
      <w:sz w:val="32"/>
    </w:rPr>
  </w:style>
  <w:style w:type="paragraph" w:customStyle="1" w:styleId="HeadingProcedure">
    <w:name w:val="Heading Procedure"/>
    <w:basedOn w:val="HeadingBase"/>
    <w:next w:val="Normal"/>
    <w:rsid w:val="00737E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7E8A"/>
    <w:pPr>
      <w:spacing w:before="60" w:after="60"/>
    </w:pPr>
  </w:style>
  <w:style w:type="paragraph" w:styleId="ListContinue">
    <w:name w:val="List Continue"/>
    <w:basedOn w:val="List"/>
    <w:rsid w:val="00737E8A"/>
    <w:pPr>
      <w:ind w:firstLine="0"/>
    </w:pPr>
  </w:style>
  <w:style w:type="paragraph" w:customStyle="1" w:styleId="ListNote">
    <w:name w:val="List Note"/>
    <w:basedOn w:val="List"/>
    <w:rsid w:val="00737E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7E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7E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7E8A"/>
    <w:rPr>
      <w:rFonts w:ascii="Courier New" w:hAnsi="Courier New"/>
    </w:rPr>
  </w:style>
  <w:style w:type="paragraph" w:customStyle="1" w:styleId="NoteBullet">
    <w:name w:val="Note Bullet"/>
    <w:basedOn w:val="Note"/>
    <w:rsid w:val="00737E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7E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7E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7E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7E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7E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7E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7E8A"/>
    <w:rPr>
      <w:b/>
      <w:smallCaps/>
    </w:rPr>
  </w:style>
  <w:style w:type="paragraph" w:customStyle="1" w:styleId="TableListNumber">
    <w:name w:val="Table List Number"/>
    <w:basedOn w:val="ListNumber"/>
    <w:rsid w:val="00737E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7E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7E8A"/>
    <w:pPr>
      <w:numPr>
        <w:numId w:val="9"/>
      </w:numPr>
    </w:pPr>
  </w:style>
  <w:style w:type="paragraph" w:customStyle="1" w:styleId="ListAlpha2">
    <w:name w:val="List Alpha 2"/>
    <w:basedOn w:val="List2"/>
    <w:rsid w:val="00737E8A"/>
    <w:pPr>
      <w:numPr>
        <w:numId w:val="8"/>
      </w:numPr>
    </w:pPr>
  </w:style>
  <w:style w:type="paragraph" w:styleId="List2">
    <w:name w:val="List 2"/>
    <w:basedOn w:val="BodyText"/>
    <w:rsid w:val="00737E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7E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7E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7E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7E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7E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7E8A"/>
    <w:pPr>
      <w:numPr>
        <w:numId w:val="4"/>
      </w:numPr>
    </w:pPr>
  </w:style>
  <w:style w:type="paragraph" w:styleId="ListContinue2">
    <w:name w:val="List Continue 2"/>
    <w:basedOn w:val="List2"/>
    <w:rsid w:val="00737E8A"/>
    <w:pPr>
      <w:ind w:firstLine="0"/>
    </w:pPr>
  </w:style>
  <w:style w:type="paragraph" w:styleId="ListContinue3">
    <w:name w:val="List Continue 3"/>
    <w:basedOn w:val="List3"/>
    <w:rsid w:val="00737E8A"/>
    <w:pPr>
      <w:ind w:left="1021" w:firstLine="0"/>
    </w:pPr>
  </w:style>
  <w:style w:type="paragraph" w:styleId="ListContinue4">
    <w:name w:val="List Continue 4"/>
    <w:basedOn w:val="List4"/>
    <w:rsid w:val="00737E8A"/>
    <w:pPr>
      <w:ind w:firstLine="0"/>
    </w:pPr>
  </w:style>
  <w:style w:type="paragraph" w:styleId="ListContinue5">
    <w:name w:val="List Continue 5"/>
    <w:basedOn w:val="List5"/>
    <w:rsid w:val="00737E8A"/>
    <w:pPr>
      <w:ind w:firstLine="0"/>
    </w:pPr>
  </w:style>
  <w:style w:type="paragraph" w:styleId="ListNumber3">
    <w:name w:val="List Number 3"/>
    <w:basedOn w:val="List3"/>
    <w:rsid w:val="00737E8A"/>
    <w:pPr>
      <w:numPr>
        <w:numId w:val="5"/>
      </w:numPr>
    </w:pPr>
  </w:style>
  <w:style w:type="paragraph" w:styleId="ListNumber4">
    <w:name w:val="List Number 4"/>
    <w:basedOn w:val="List4"/>
    <w:rsid w:val="00737E8A"/>
    <w:pPr>
      <w:numPr>
        <w:numId w:val="6"/>
      </w:numPr>
    </w:pPr>
  </w:style>
  <w:style w:type="paragraph" w:styleId="ListNumber5">
    <w:name w:val="List Number 5"/>
    <w:basedOn w:val="List5"/>
    <w:rsid w:val="00737E8A"/>
    <w:pPr>
      <w:numPr>
        <w:numId w:val="7"/>
      </w:numPr>
    </w:pPr>
  </w:style>
  <w:style w:type="paragraph" w:styleId="BlockText">
    <w:name w:val="Block Text"/>
    <w:basedOn w:val="Normal"/>
    <w:rsid w:val="00737E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7E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7E8A"/>
    <w:rPr>
      <w:sz w:val="16"/>
      <w:vertAlign w:val="superscript"/>
    </w:rPr>
  </w:style>
  <w:style w:type="character" w:customStyle="1" w:styleId="Symbols">
    <w:name w:val="Symbols"/>
    <w:basedOn w:val="DefaultParagraphFont"/>
    <w:rsid w:val="00737E8A"/>
    <w:rPr>
      <w:rFonts w:ascii="Symbol" w:hAnsi="Symbol"/>
    </w:rPr>
  </w:style>
  <w:style w:type="character" w:customStyle="1" w:styleId="MenuOptions">
    <w:name w:val="Menu Options"/>
    <w:basedOn w:val="DefaultParagraphFont"/>
    <w:rsid w:val="00737E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7E8A"/>
    <w:rPr>
      <w:b/>
    </w:rPr>
  </w:style>
  <w:style w:type="character" w:customStyle="1" w:styleId="Underlined">
    <w:name w:val="Underlined"/>
    <w:basedOn w:val="DefaultParagraphFont"/>
    <w:rsid w:val="00737E8A"/>
    <w:rPr>
      <w:u w:val="single"/>
    </w:rPr>
  </w:style>
  <w:style w:type="paragraph" w:customStyle="1" w:styleId="TableBodyTextRight">
    <w:name w:val="Table Body Text Right"/>
    <w:basedOn w:val="TableBodyText"/>
    <w:rsid w:val="00737E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7E8A"/>
    <w:rPr>
      <w:sz w:val="18"/>
    </w:rPr>
  </w:style>
  <w:style w:type="paragraph" w:customStyle="1" w:styleId="BodySmallRight">
    <w:name w:val="Body Small Right"/>
    <w:basedOn w:val="BodyTextRight"/>
    <w:rsid w:val="00737E8A"/>
    <w:rPr>
      <w:sz w:val="18"/>
      <w:szCs w:val="18"/>
    </w:rPr>
  </w:style>
  <w:style w:type="paragraph" w:customStyle="1" w:styleId="MarginEdition">
    <w:name w:val="Margin Edition"/>
    <w:basedOn w:val="MarginNote"/>
    <w:rsid w:val="00737E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7E8A"/>
    <w:rPr>
      <w:sz w:val="2"/>
      <w:szCs w:val="2"/>
    </w:rPr>
  </w:style>
  <w:style w:type="character" w:customStyle="1" w:styleId="Small">
    <w:name w:val="Small"/>
    <w:basedOn w:val="DefaultParagraphFont"/>
    <w:rsid w:val="00737E8A"/>
    <w:rPr>
      <w:sz w:val="16"/>
    </w:rPr>
  </w:style>
  <w:style w:type="paragraph" w:customStyle="1" w:styleId="WideTable">
    <w:name w:val="Wide Table"/>
    <w:basedOn w:val="Normal"/>
    <w:rsid w:val="00737E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7E8A"/>
  </w:style>
  <w:style w:type="paragraph" w:styleId="Quote">
    <w:name w:val="Quote"/>
    <w:basedOn w:val="Heading1"/>
    <w:link w:val="QuoteChar"/>
    <w:qFormat/>
    <w:rsid w:val="00737E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7E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7E8A"/>
    <w:pPr>
      <w:pageBreakBefore/>
    </w:pPr>
  </w:style>
  <w:style w:type="paragraph" w:customStyle="1" w:styleId="Border">
    <w:name w:val="Border"/>
    <w:basedOn w:val="Normal"/>
    <w:qFormat/>
    <w:rsid w:val="00737E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7E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7E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7E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7E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7E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7E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7E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7E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7E8A"/>
    <w:rPr>
      <w:u w:val="single"/>
    </w:rPr>
  </w:style>
  <w:style w:type="character" w:customStyle="1" w:styleId="BoldandItalics">
    <w:name w:val="Bold and Italics"/>
    <w:qFormat/>
    <w:rsid w:val="00737E8A"/>
    <w:rPr>
      <w:b/>
      <w:i/>
      <w:u w:val="none"/>
    </w:rPr>
  </w:style>
  <w:style w:type="paragraph" w:styleId="BalloonText">
    <w:name w:val="Balloon Text"/>
    <w:basedOn w:val="Normal"/>
    <w:link w:val="BalloonTextChar"/>
    <w:rsid w:val="00737E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7E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7E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7E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7E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7E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7E8A"/>
    <w:pPr>
      <w:spacing w:before="0" w:after="0"/>
    </w:pPr>
  </w:style>
  <w:style w:type="paragraph" w:customStyle="1" w:styleId="BodyTextBold">
    <w:name w:val="Body Text Bold"/>
    <w:basedOn w:val="BodyText"/>
    <w:qFormat/>
    <w:rsid w:val="00737E8A"/>
    <w:rPr>
      <w:b/>
    </w:rPr>
  </w:style>
  <w:style w:type="character" w:styleId="Hyperlink">
    <w:name w:val="Hyperlink"/>
    <w:basedOn w:val="DefaultParagraphFont"/>
    <w:uiPriority w:val="99"/>
    <w:unhideWhenUsed/>
    <w:rsid w:val="003528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332</Words>
  <Characters>2281</Characters>
  <Application>Microsoft Office Word</Application>
  <DocSecurity>0</DocSecurity>
  <Lines>65</Lines>
  <Paragraphs>45</Paragraphs>
  <ScaleCrop>false</ScaleCrop>
  <Company>Author-it Software Corporation Ltd.</Company>
  <LinksUpToDate>false</LinksUpToDate>
  <CharactersWithSpaces>2568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FNSRSK602 Determine and manage risk exposure strategies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2022-01-27T02:28:00Z</dcterms:created>
  <dcterms:modified xsi:type="dcterms:W3CDTF">2022-01-27T02:28:00Z</dcterms:modified>
</cp:coreProperties>
</file>