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2339" w:rsidP="007423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FNSRSK501 Undertake risk identification</w:t>
      </w:r>
      <w:r>
        <w:fldChar w:fldCharType="end"/>
      </w:r>
    </w:p>
    <w:p w:rsidR="00742339" w:rsidP="00742339">
      <w:pPr>
        <w:pStyle w:val="Version"/>
        <w:sectPr w:rsidSect="001D2E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D2EDC" w:rsidP="001D2EDC">
      <w:pPr>
        <w:pStyle w:val="SuperHeading"/>
      </w:pPr>
      <w:r w:rsidRPr="001D2EDC">
        <w:t>Assessment Re</w:t>
      </w:r>
      <w:r w:rsidRPr="001D2EDC">
        <w:t>quirements for FNSRSK501 Undertake risk identification</w:t>
      </w:r>
    </w:p>
    <w:p w:rsidR="00000000" w:rsidRPr="001D2EDC" w:rsidP="001D2EDC">
      <w:pPr>
        <w:pStyle w:val="Heading1"/>
      </w:pPr>
      <w:bookmarkStart w:id="1" w:name="O_697311"/>
      <w:bookmarkEnd w:id="1"/>
      <w:r w:rsidRPr="001D2ED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D2E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EDC" w:rsidP="001D2EDC">
            <w:pPr>
              <w:pStyle w:val="BodyText"/>
            </w:pPr>
            <w:r w:rsidRPr="001D2ED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EDC">
            <w:pPr>
              <w:pStyle w:val="BodyText"/>
              <w:rPr>
                <w:lang w:val="en-NZ"/>
              </w:rPr>
            </w:pPr>
            <w:r w:rsidRPr="001D2EDC">
              <w:rPr>
                <w:rStyle w:val="SpecialBold"/>
              </w:rPr>
              <w:t>Comments</w:t>
            </w:r>
          </w:p>
        </w:tc>
      </w:tr>
      <w:tr w:rsidTr="001D2E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EDC">
            <w:pPr>
              <w:pStyle w:val="BodyText"/>
              <w:rPr>
                <w:lang w:val="en-NZ"/>
              </w:rPr>
            </w:pPr>
            <w:r w:rsidRPr="001D2ED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EDC" w:rsidP="001D2EDC">
            <w:pPr>
              <w:pStyle w:val="BodyText"/>
            </w:pPr>
            <w:r w:rsidRPr="001D2EDC">
              <w:t>This version first released with FNS Financial Services Training Package Version 1.0.</w:t>
            </w:r>
          </w:p>
        </w:tc>
      </w:tr>
    </w:tbl>
    <w:p w:rsidR="00000000" w:rsidRPr="001D2EDC" w:rsidP="001D2EDC">
      <w:pPr>
        <w:pStyle w:val="BodyText"/>
      </w:pPr>
    </w:p>
    <w:p w:rsidR="00000000" w:rsidRPr="001D2EDC" w:rsidP="001D2EDC">
      <w:pPr>
        <w:pStyle w:val="AllowPageBreak"/>
      </w:pPr>
    </w:p>
    <w:p w:rsidR="00000000" w:rsidRPr="001D2EDC" w:rsidP="001D2EDC">
      <w:pPr>
        <w:pStyle w:val="Heading1"/>
      </w:pPr>
      <w:bookmarkStart w:id="2" w:name="O_697312"/>
      <w:bookmarkEnd w:id="2"/>
      <w:r w:rsidRPr="001D2EDC">
        <w:t>Performance Evidence</w:t>
      </w:r>
    </w:p>
    <w:p w:rsidR="00000000" w:rsidRPr="001D2EDC" w:rsidP="00742339">
      <w:pPr>
        <w:pStyle w:val="BodyText"/>
      </w:pPr>
      <w:r w:rsidRPr="001D2EDC">
        <w:t>Evidence of the ability to:</w:t>
      </w:r>
    </w:p>
    <w:p w:rsidR="00000000" w:rsidRPr="001D2EDC" w:rsidP="001D2EDC">
      <w:pPr>
        <w:pStyle w:val="ListBullet"/>
      </w:pPr>
      <w:r w:rsidRPr="001D2EDC">
        <w:t>effectively liaise and communicate with stakeholders regarding risk identification</w:t>
      </w:r>
    </w:p>
    <w:p w:rsidR="00000000" w:rsidRPr="001D2EDC" w:rsidP="001D2EDC">
      <w:pPr>
        <w:pStyle w:val="ListBullet"/>
      </w:pPr>
      <w:r w:rsidRPr="001D2EDC">
        <w:t>identify financial risk clusters, and analyse and prioritise the risks</w:t>
      </w:r>
    </w:p>
    <w:p w:rsidR="00000000" w:rsidRPr="001D2EDC" w:rsidP="001D2EDC">
      <w:pPr>
        <w:pStyle w:val="ListBullet"/>
      </w:pPr>
      <w:r w:rsidRPr="001D2EDC">
        <w:t>document risks and controls, and make recommendations for risk control im</w:t>
      </w:r>
      <w:r w:rsidRPr="001D2EDC">
        <w:t>provements.</w:t>
      </w:r>
    </w:p>
    <w:p w:rsidR="00000000" w:rsidRPr="001D2EDC" w:rsidP="001D2EDC">
      <w:pPr>
        <w:pStyle w:val="BodyText"/>
      </w:pPr>
    </w:p>
    <w:p w:rsidR="00000000" w:rsidRPr="001D2EDC" w:rsidP="00742339">
      <w:pPr>
        <w:pStyle w:val="BodyText"/>
      </w:pPr>
      <w:r w:rsidRPr="001D2EDC">
        <w:t>Note: If a specific volume or frequency is not stated, then evidence must be provided at least once.</w:t>
      </w:r>
    </w:p>
    <w:p w:rsidR="00000000" w:rsidRPr="001D2EDC" w:rsidP="001D2EDC">
      <w:pPr>
        <w:pStyle w:val="Heading1"/>
      </w:pPr>
      <w:bookmarkStart w:id="3" w:name="O_697313"/>
      <w:bookmarkEnd w:id="3"/>
      <w:r w:rsidRPr="001D2EDC">
        <w:t>Knowledge Evidence</w:t>
      </w:r>
    </w:p>
    <w:p w:rsidR="00000000" w:rsidRPr="001D2EDC" w:rsidP="00742339">
      <w:pPr>
        <w:pStyle w:val="BodyText"/>
      </w:pPr>
      <w:r w:rsidRPr="001D2EDC">
        <w:t>To complete the unit requirements safely and effectively, the individual must:</w:t>
      </w:r>
    </w:p>
    <w:p w:rsidR="00000000" w:rsidRPr="001D2EDC" w:rsidP="001D2EDC">
      <w:pPr>
        <w:pStyle w:val="ListBullet"/>
      </w:pPr>
      <w:r w:rsidRPr="001D2EDC">
        <w:t xml:space="preserve">identify and explain the role of internal and external stakeholders relevant to risk </w:t>
      </w:r>
    </w:p>
    <w:p w:rsidR="00000000" w:rsidRPr="001D2EDC" w:rsidP="001D2EDC">
      <w:pPr>
        <w:pStyle w:val="ListBullet"/>
      </w:pPr>
      <w:r w:rsidRPr="001D2EDC">
        <w:t>identify and explain the key features and purpose of the Australian standards for risk management</w:t>
      </w:r>
    </w:p>
    <w:p w:rsidR="00000000" w:rsidRPr="001D2EDC" w:rsidP="001D2EDC">
      <w:pPr>
        <w:pStyle w:val="ListBullet"/>
      </w:pPr>
      <w:r w:rsidRPr="001D2EDC">
        <w:t>compare and contrast methods of identifying financial and legislative ri</w:t>
      </w:r>
      <w:r w:rsidRPr="001D2EDC">
        <w:t>sks</w:t>
      </w:r>
    </w:p>
    <w:p w:rsidR="00000000" w:rsidRPr="001D2EDC" w:rsidP="001D2EDC">
      <w:pPr>
        <w:pStyle w:val="ListBullet"/>
      </w:pPr>
      <w:r w:rsidRPr="001D2EDC">
        <w:t>explain the concept of risk clusters</w:t>
      </w:r>
    </w:p>
    <w:p w:rsidR="00000000" w:rsidRPr="001D2EDC" w:rsidP="001D2EDC">
      <w:pPr>
        <w:pStyle w:val="ListBullet"/>
      </w:pPr>
      <w:r w:rsidRPr="001D2EDC">
        <w:t>explain the key principles and practices of risk management</w:t>
      </w:r>
    </w:p>
    <w:p w:rsidR="00000000" w:rsidRPr="001D2EDC" w:rsidP="001D2EDC">
      <w:pPr>
        <w:pStyle w:val="ListBullet"/>
      </w:pPr>
      <w:r w:rsidRPr="001D2EDC">
        <w:t>explain the key principles and importance of risk controls</w:t>
      </w:r>
    </w:p>
    <w:p w:rsidR="00000000" w:rsidRPr="001D2EDC" w:rsidP="001D2EDC">
      <w:pPr>
        <w:pStyle w:val="ListBullet"/>
      </w:pPr>
      <w:r w:rsidRPr="001D2EDC">
        <w:t>explain risk mitigation strategies.</w:t>
      </w:r>
    </w:p>
    <w:p w:rsidR="00000000" w:rsidRPr="001D2EDC" w:rsidP="001D2EDC">
      <w:pPr>
        <w:pStyle w:val="AllowPageBreak"/>
      </w:pPr>
    </w:p>
    <w:p w:rsidR="00000000" w:rsidRPr="001D2EDC" w:rsidP="001D2EDC">
      <w:pPr>
        <w:pStyle w:val="Heading1"/>
      </w:pPr>
      <w:bookmarkStart w:id="4" w:name="O_697314"/>
      <w:bookmarkEnd w:id="4"/>
      <w:r w:rsidRPr="001D2EDC">
        <w:t>Assessment Conditions</w:t>
      </w:r>
    </w:p>
    <w:p w:rsidR="00000000" w:rsidRPr="001D2EDC" w:rsidP="00742339">
      <w:pPr>
        <w:pStyle w:val="BodyText"/>
      </w:pPr>
      <w:r w:rsidRPr="001D2EDC">
        <w:t>Assessment must be co</w:t>
      </w:r>
      <w:r w:rsidRPr="001D2EDC">
        <w:t>nducted in a safe environment where evidence gathered demonstrates consistent performance of typical activities experienced in the risk management field of work and include access to:</w:t>
      </w:r>
    </w:p>
    <w:p w:rsidR="00000000" w:rsidRPr="001D2EDC" w:rsidP="001D2EDC">
      <w:pPr>
        <w:pStyle w:val="ListBullet"/>
      </w:pPr>
      <w:r w:rsidRPr="001D2EDC">
        <w:t>office equipment, technology, software and consumables</w:t>
      </w:r>
    </w:p>
    <w:p w:rsidR="00000000" w:rsidRPr="001D2EDC" w:rsidP="001D2EDC">
      <w:pPr>
        <w:pStyle w:val="ListBullet"/>
      </w:pPr>
      <w:r w:rsidRPr="001D2EDC">
        <w:t>relevant legisla</w:t>
      </w:r>
      <w:r w:rsidRPr="001D2EDC">
        <w:t>tion, regulations and codes of practice</w:t>
      </w:r>
    </w:p>
    <w:p w:rsidR="00000000" w:rsidRPr="001D2EDC" w:rsidP="001D2EDC">
      <w:pPr>
        <w:pStyle w:val="ListBullet"/>
      </w:pPr>
      <w:r w:rsidRPr="001D2EDC">
        <w:t>relevant Australian standards relating to risk management.</w:t>
      </w:r>
    </w:p>
    <w:p w:rsidR="00000000" w:rsidRPr="001D2EDC" w:rsidP="001D2EDC">
      <w:pPr>
        <w:pStyle w:val="BodyText"/>
      </w:pPr>
    </w:p>
    <w:p w:rsidR="00000000" w:rsidRPr="001D2EDC" w:rsidP="00742339">
      <w:pPr>
        <w:pStyle w:val="BodyText"/>
      </w:pPr>
      <w:r w:rsidRPr="001D2EDC">
        <w:t>Assessors must satisfy NVR/AQTF assessor requirements.</w:t>
      </w:r>
    </w:p>
    <w:p w:rsidR="00000000" w:rsidRPr="001D2EDC" w:rsidP="001D2EDC">
      <w:pPr>
        <w:pStyle w:val="Heading1"/>
      </w:pPr>
      <w:bookmarkStart w:id="5" w:name="O_697317"/>
      <w:bookmarkEnd w:id="5"/>
      <w:r w:rsidRPr="001D2EDC">
        <w:t>Links</w:t>
      </w:r>
    </w:p>
    <w:p w:rsidR="00000000" w:rsidRPr="001D2EDC" w:rsidP="00742339">
      <w:pPr>
        <w:pStyle w:val="BodyText"/>
      </w:pPr>
      <w:r w:rsidRPr="001D2ED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127C9F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1D2EDC" w:rsidP="001D2EDC"/>
    <w:sectPr w:rsidSect="001D2ED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E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EDC" w:rsidRPr="00742339" w:rsidP="007423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E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339" w:rsidP="001D2E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42339" w:rsidP="001D2E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42339" w:rsidP="001D2E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E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3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2EDC" w:rsidRPr="00742339" w:rsidP="007423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E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339" w:rsidRPr="002D2AF8" w:rsidP="001D2E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FNSRSK501 Undertake risk identification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November 2020</w:t>
    </w:r>
    <w:r>
      <w:fldChar w:fldCharType="end"/>
    </w:r>
  </w:p>
  <w:p w:rsidR="00742339" w:rsidP="001D2E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434F3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E84339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2E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2E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2E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2E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2E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2E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2E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2E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2E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2E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2E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2EDC"/>
  </w:style>
  <w:style w:type="character" w:customStyle="1" w:styleId="Heading1Char">
    <w:name w:val="Heading 1 Char"/>
    <w:basedOn w:val="DefaultParagraphFont"/>
    <w:link w:val="Heading1"/>
    <w:rsid w:val="001D2E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2E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2ED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D2ED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D2EDC"/>
    <w:rPr>
      <w:b/>
      <w:spacing w:val="0"/>
    </w:rPr>
  </w:style>
  <w:style w:type="paragraph" w:customStyle="1" w:styleId="SuperHeading">
    <w:name w:val="SuperHeading"/>
    <w:basedOn w:val="Normal"/>
    <w:rsid w:val="001D2E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2E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D2E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2E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2E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2E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2E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2E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2E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2E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2E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2E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2E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2E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2E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2E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2E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2E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2E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2ED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D2ED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D2E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D2E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2E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2E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D2ED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D2E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2E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2E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2E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2E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2E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2E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2E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2ED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D2EDC"/>
    <w:rPr>
      <w:i/>
    </w:rPr>
  </w:style>
  <w:style w:type="paragraph" w:styleId="Caption">
    <w:name w:val="caption"/>
    <w:basedOn w:val="BodyText"/>
    <w:next w:val="Normal"/>
    <w:qFormat/>
    <w:rsid w:val="001D2E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2E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2E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2EDC"/>
  </w:style>
  <w:style w:type="paragraph" w:styleId="TableofFigures">
    <w:name w:val="table of figures"/>
    <w:basedOn w:val="Normal"/>
    <w:next w:val="Normal"/>
    <w:semiHidden/>
    <w:rsid w:val="001D2E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2ED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D2EDC"/>
    <w:rPr>
      <w:rFonts w:ascii="Wingdings" w:hAnsi="Wingdings"/>
    </w:rPr>
  </w:style>
  <w:style w:type="paragraph" w:customStyle="1" w:styleId="TableHeading">
    <w:name w:val="Table Heading"/>
    <w:basedOn w:val="HeadingBase"/>
    <w:rsid w:val="001D2E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2EDC"/>
    <w:rPr>
      <w:color w:val="0033CC"/>
      <w:u w:val="none"/>
    </w:rPr>
  </w:style>
  <w:style w:type="paragraph" w:customStyle="1" w:styleId="BodyTextRight">
    <w:name w:val="Body Text Right"/>
    <w:basedOn w:val="BodyText"/>
    <w:rsid w:val="001D2E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2E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2ED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2E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2E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2E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2EDC"/>
    <w:rPr>
      <w:sz w:val="32"/>
    </w:rPr>
  </w:style>
  <w:style w:type="paragraph" w:customStyle="1" w:styleId="HeadingProcedure">
    <w:name w:val="Heading Procedure"/>
    <w:basedOn w:val="HeadingBase"/>
    <w:next w:val="Normal"/>
    <w:rsid w:val="001D2E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2EDC"/>
    <w:pPr>
      <w:spacing w:before="60" w:after="60"/>
    </w:pPr>
  </w:style>
  <w:style w:type="paragraph" w:styleId="ListContinue">
    <w:name w:val="List Continue"/>
    <w:basedOn w:val="List"/>
    <w:rsid w:val="001D2EDC"/>
    <w:pPr>
      <w:ind w:firstLine="0"/>
    </w:pPr>
  </w:style>
  <w:style w:type="paragraph" w:customStyle="1" w:styleId="ListNote">
    <w:name w:val="List Note"/>
    <w:basedOn w:val="List"/>
    <w:rsid w:val="001D2E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2E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2E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2EDC"/>
    <w:rPr>
      <w:rFonts w:ascii="Courier New" w:hAnsi="Courier New"/>
    </w:rPr>
  </w:style>
  <w:style w:type="paragraph" w:customStyle="1" w:styleId="NoteBullet">
    <w:name w:val="Note Bullet"/>
    <w:basedOn w:val="Note"/>
    <w:rsid w:val="001D2E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2E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2E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2E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2ED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D2E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2E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2EDC"/>
    <w:rPr>
      <w:b/>
      <w:smallCaps/>
    </w:rPr>
  </w:style>
  <w:style w:type="paragraph" w:customStyle="1" w:styleId="TableListNumber">
    <w:name w:val="Table List Number"/>
    <w:basedOn w:val="ListNumber"/>
    <w:rsid w:val="001D2E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2E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2EDC"/>
    <w:pPr>
      <w:numPr>
        <w:numId w:val="8"/>
      </w:numPr>
    </w:pPr>
  </w:style>
  <w:style w:type="paragraph" w:customStyle="1" w:styleId="ListAlpha2">
    <w:name w:val="List Alpha 2"/>
    <w:basedOn w:val="List2"/>
    <w:rsid w:val="001D2EDC"/>
    <w:pPr>
      <w:numPr>
        <w:numId w:val="7"/>
      </w:numPr>
    </w:pPr>
  </w:style>
  <w:style w:type="paragraph" w:styleId="List2">
    <w:name w:val="List 2"/>
    <w:basedOn w:val="BodyText"/>
    <w:rsid w:val="001D2E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2E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2E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2E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2ED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2ED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D2EDC"/>
    <w:pPr>
      <w:numPr>
        <w:numId w:val="3"/>
      </w:numPr>
    </w:pPr>
  </w:style>
  <w:style w:type="paragraph" w:styleId="ListContinue2">
    <w:name w:val="List Continue 2"/>
    <w:basedOn w:val="List2"/>
    <w:rsid w:val="001D2EDC"/>
    <w:pPr>
      <w:ind w:firstLine="0"/>
    </w:pPr>
  </w:style>
  <w:style w:type="paragraph" w:styleId="ListContinue3">
    <w:name w:val="List Continue 3"/>
    <w:basedOn w:val="List3"/>
    <w:rsid w:val="001D2EDC"/>
    <w:pPr>
      <w:ind w:left="1021" w:firstLine="0"/>
    </w:pPr>
  </w:style>
  <w:style w:type="paragraph" w:styleId="ListContinue4">
    <w:name w:val="List Continue 4"/>
    <w:basedOn w:val="List4"/>
    <w:rsid w:val="001D2EDC"/>
    <w:pPr>
      <w:ind w:firstLine="0"/>
    </w:pPr>
  </w:style>
  <w:style w:type="paragraph" w:styleId="ListContinue5">
    <w:name w:val="List Continue 5"/>
    <w:basedOn w:val="List5"/>
    <w:rsid w:val="001D2EDC"/>
    <w:pPr>
      <w:ind w:firstLine="0"/>
    </w:pPr>
  </w:style>
  <w:style w:type="paragraph" w:styleId="ListNumber3">
    <w:name w:val="List Number 3"/>
    <w:basedOn w:val="List3"/>
    <w:rsid w:val="001D2EDC"/>
    <w:pPr>
      <w:numPr>
        <w:numId w:val="4"/>
      </w:numPr>
    </w:pPr>
  </w:style>
  <w:style w:type="paragraph" w:styleId="ListNumber4">
    <w:name w:val="List Number 4"/>
    <w:basedOn w:val="List4"/>
    <w:rsid w:val="001D2EDC"/>
    <w:pPr>
      <w:numPr>
        <w:numId w:val="5"/>
      </w:numPr>
    </w:pPr>
  </w:style>
  <w:style w:type="paragraph" w:styleId="ListNumber5">
    <w:name w:val="List Number 5"/>
    <w:basedOn w:val="List5"/>
    <w:rsid w:val="001D2EDC"/>
    <w:pPr>
      <w:numPr>
        <w:numId w:val="6"/>
      </w:numPr>
    </w:pPr>
  </w:style>
  <w:style w:type="paragraph" w:styleId="BlockText">
    <w:name w:val="Block Text"/>
    <w:basedOn w:val="Normal"/>
    <w:rsid w:val="001D2E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2E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2EDC"/>
    <w:rPr>
      <w:sz w:val="16"/>
      <w:vertAlign w:val="superscript"/>
    </w:rPr>
  </w:style>
  <w:style w:type="character" w:customStyle="1" w:styleId="Symbols">
    <w:name w:val="Symbols"/>
    <w:basedOn w:val="DefaultParagraphFont"/>
    <w:rsid w:val="001D2EDC"/>
    <w:rPr>
      <w:rFonts w:ascii="Symbol" w:hAnsi="Symbol"/>
    </w:rPr>
  </w:style>
  <w:style w:type="character" w:customStyle="1" w:styleId="MenuOptions">
    <w:name w:val="Menu Options"/>
    <w:basedOn w:val="DefaultParagraphFont"/>
    <w:rsid w:val="001D2E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2EDC"/>
    <w:rPr>
      <w:b/>
    </w:rPr>
  </w:style>
  <w:style w:type="character" w:customStyle="1" w:styleId="Underlined">
    <w:name w:val="Underlined"/>
    <w:basedOn w:val="DefaultParagraphFont"/>
    <w:rsid w:val="001D2EDC"/>
    <w:rPr>
      <w:u w:val="single"/>
    </w:rPr>
  </w:style>
  <w:style w:type="paragraph" w:customStyle="1" w:styleId="TableBodyTextRight">
    <w:name w:val="Table Body Text Right"/>
    <w:basedOn w:val="TableBodyText"/>
    <w:rsid w:val="001D2E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2EDC"/>
    <w:rPr>
      <w:sz w:val="18"/>
    </w:rPr>
  </w:style>
  <w:style w:type="paragraph" w:customStyle="1" w:styleId="BodySmallRight">
    <w:name w:val="Body Small Right"/>
    <w:basedOn w:val="BodyTextRight"/>
    <w:rsid w:val="001D2EDC"/>
    <w:rPr>
      <w:sz w:val="18"/>
      <w:szCs w:val="18"/>
    </w:rPr>
  </w:style>
  <w:style w:type="paragraph" w:customStyle="1" w:styleId="MarginEdition">
    <w:name w:val="Margin Edition"/>
    <w:basedOn w:val="MarginNote"/>
    <w:rsid w:val="001D2E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2EDC"/>
    <w:rPr>
      <w:sz w:val="2"/>
      <w:szCs w:val="2"/>
    </w:rPr>
  </w:style>
  <w:style w:type="character" w:customStyle="1" w:styleId="Small">
    <w:name w:val="Small"/>
    <w:basedOn w:val="DefaultParagraphFont"/>
    <w:rsid w:val="001D2EDC"/>
    <w:rPr>
      <w:sz w:val="16"/>
    </w:rPr>
  </w:style>
  <w:style w:type="paragraph" w:customStyle="1" w:styleId="WideTable">
    <w:name w:val="Wide Table"/>
    <w:basedOn w:val="Normal"/>
    <w:rsid w:val="001D2E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2EDC"/>
  </w:style>
  <w:style w:type="paragraph" w:styleId="Quote">
    <w:name w:val="Quote"/>
    <w:basedOn w:val="Heading1"/>
    <w:link w:val="QuoteChar"/>
    <w:qFormat/>
    <w:rsid w:val="001D2E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2E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2EDC"/>
    <w:pPr>
      <w:pageBreakBefore/>
    </w:pPr>
  </w:style>
  <w:style w:type="paragraph" w:customStyle="1" w:styleId="Border">
    <w:name w:val="Border"/>
    <w:basedOn w:val="Normal"/>
    <w:qFormat/>
    <w:rsid w:val="001D2E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2E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2E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2E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2E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2E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2E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2E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2E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2EDC"/>
    <w:rPr>
      <w:u w:val="single"/>
    </w:rPr>
  </w:style>
  <w:style w:type="character" w:customStyle="1" w:styleId="BoldandItalics">
    <w:name w:val="Bold and Italics"/>
    <w:qFormat/>
    <w:rsid w:val="001D2EDC"/>
    <w:rPr>
      <w:b/>
      <w:i/>
      <w:u w:val="none"/>
    </w:rPr>
  </w:style>
  <w:style w:type="paragraph" w:styleId="BalloonText">
    <w:name w:val="Balloon Text"/>
    <w:basedOn w:val="Normal"/>
    <w:link w:val="BalloonTextChar"/>
    <w:rsid w:val="001D2E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2E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2E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2E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2E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2E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2EDC"/>
    <w:pPr>
      <w:spacing w:before="0" w:after="0"/>
    </w:pPr>
  </w:style>
  <w:style w:type="paragraph" w:customStyle="1" w:styleId="BodyTextBold">
    <w:name w:val="Body Text Bold"/>
    <w:basedOn w:val="BodyText"/>
    <w:qFormat/>
    <w:rsid w:val="001D2EDC"/>
    <w:rPr>
      <w:b/>
    </w:rPr>
  </w:style>
  <w:style w:type="character" w:styleId="Hyperlink">
    <w:name w:val="Hyperlink"/>
    <w:basedOn w:val="DefaultParagraphFont"/>
    <w:uiPriority w:val="99"/>
    <w:unhideWhenUsed/>
    <w:rsid w:val="007423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257</Words>
  <Characters>1745</Characters>
  <Application>Microsoft Office Word</Application>
  <DocSecurity>0</DocSecurity>
  <Lines>51</Lines>
  <Paragraphs>38</Paragraphs>
  <ScaleCrop>false</ScaleCrop>
  <Company>Author-it Software Corporation Ltd.</Company>
  <LinksUpToDate>false</LinksUpToDate>
  <CharactersWithSpaces>1964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FNSRSK501 Undertake risk identification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2020-11-04T12:39:00Z</dcterms:created>
  <dcterms:modified xsi:type="dcterms:W3CDTF">2020-11-04T12:39:00Z</dcterms:modified>
</cp:coreProperties>
</file>