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A2B" w:rsidP="005C7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FNSPRT517 Apply principles of fiduciary duty, substituted decision making and ethical decision making</w:t>
      </w:r>
      <w:r>
        <w:fldChar w:fldCharType="end"/>
      </w:r>
    </w:p>
    <w:p w:rsidR="005C7A2B" w:rsidP="005C7A2B">
      <w:pPr>
        <w:pStyle w:val="Version"/>
        <w:sectPr w:rsidSect="003B2C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2C7F" w:rsidP="003B2C7F">
      <w:pPr>
        <w:pStyle w:val="SuperHeading"/>
      </w:pPr>
      <w:r w:rsidRPr="003B2C7F">
        <w:t>Assessment Requirements for FNSPRT517 Apply principles of fiduciary duty, substituted decision making and ethical decision making</w:t>
      </w:r>
    </w:p>
    <w:p w:rsidR="00000000" w:rsidRPr="003B2C7F" w:rsidP="003B2C7F">
      <w:pPr>
        <w:pStyle w:val="Heading1"/>
      </w:pPr>
      <w:bookmarkStart w:id="1" w:name="O_1230919"/>
      <w:bookmarkEnd w:id="1"/>
      <w:r w:rsidRPr="003B2C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B2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7F" w:rsidP="003B2C7F">
            <w:pPr>
              <w:pStyle w:val="BodyText"/>
            </w:pPr>
            <w:r w:rsidRPr="003B2C7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7F">
            <w:pPr>
              <w:pStyle w:val="BodyText"/>
              <w:rPr>
                <w:lang w:val="en-NZ"/>
              </w:rPr>
            </w:pPr>
            <w:r w:rsidRPr="003B2C7F">
              <w:rPr>
                <w:rStyle w:val="SpecialBold"/>
              </w:rPr>
              <w:t>Comments</w:t>
            </w:r>
          </w:p>
        </w:tc>
      </w:tr>
      <w:tr w:rsidTr="003B2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2C7F">
            <w:pPr>
              <w:pStyle w:val="BodyText"/>
              <w:rPr>
                <w:lang w:val="en-NZ"/>
              </w:rPr>
            </w:pPr>
            <w:r w:rsidRPr="003B2C7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2C7F" w:rsidP="003B2C7F">
            <w:pPr>
              <w:pStyle w:val="BodyText"/>
            </w:pPr>
            <w:r w:rsidRPr="003B2C7F">
              <w:t>This version first released with the FNS Financial Services Training Package Version 8.0.</w:t>
            </w:r>
          </w:p>
          <w:p w:rsidR="00000000" w:rsidRPr="003B2C7F" w:rsidP="003B2C7F">
            <w:pPr>
              <w:pStyle w:val="BodyText"/>
            </w:pPr>
            <w:r w:rsidRPr="003B2C7F">
              <w:t>Supersedes and is equivalent to FNSPRT507 Apply principles of fiduciary duty, substituted decision-making and ethical decision-making.</w:t>
            </w:r>
          </w:p>
        </w:tc>
      </w:tr>
    </w:tbl>
    <w:p w:rsidR="00000000" w:rsidRPr="003B2C7F" w:rsidP="003B2C7F">
      <w:pPr>
        <w:pStyle w:val="BodyText"/>
      </w:pPr>
    </w:p>
    <w:p w:rsidR="00000000" w:rsidRPr="003B2C7F" w:rsidP="003B2C7F">
      <w:pPr>
        <w:pStyle w:val="AllowPageBreak"/>
      </w:pPr>
    </w:p>
    <w:p w:rsidR="00000000" w:rsidRPr="003B2C7F" w:rsidP="003B2C7F">
      <w:pPr>
        <w:pStyle w:val="Heading1"/>
      </w:pPr>
      <w:bookmarkStart w:id="2" w:name="O_1230920"/>
      <w:bookmarkEnd w:id="2"/>
      <w:r w:rsidRPr="003B2C7F">
        <w:t>Performanc</w:t>
      </w:r>
      <w:r w:rsidRPr="003B2C7F">
        <w:t>e Evidence</w:t>
      </w:r>
    </w:p>
    <w:p w:rsidR="00000000" w:rsidRPr="003B2C7F" w:rsidP="005C7A2B">
      <w:pPr>
        <w:pStyle w:val="BodyText"/>
      </w:pPr>
      <w:r w:rsidRPr="003B2C7F">
        <w:t>The candidate must demonstrate the ability to complete the tasks outlined in the elements, performance criteria and foundation skills of this unit, including evidence of the ability to:</w:t>
      </w:r>
    </w:p>
    <w:p w:rsidR="00000000" w:rsidRPr="003B2C7F" w:rsidP="003B2C7F">
      <w:pPr>
        <w:pStyle w:val="ListBullet"/>
      </w:pPr>
      <w:r w:rsidRPr="003B2C7F">
        <w:t>apply principles of fiduciary duty, substituted decision m</w:t>
      </w:r>
      <w:r w:rsidRPr="003B2C7F">
        <w:t>aking and ethical decision making when providing traditional trustee services on at least two different occasions.</w:t>
      </w:r>
    </w:p>
    <w:p w:rsidR="00000000" w:rsidRPr="003B2C7F" w:rsidP="003B2C7F">
      <w:pPr>
        <w:pStyle w:val="BodyText"/>
      </w:pPr>
    </w:p>
    <w:p w:rsidR="00000000" w:rsidRPr="003B2C7F" w:rsidP="005C7A2B">
      <w:pPr>
        <w:pStyle w:val="BodyText"/>
      </w:pPr>
      <w:r w:rsidRPr="003B2C7F">
        <w:t>In the course of the above, the candidate must:</w:t>
      </w:r>
    </w:p>
    <w:p w:rsidR="00000000" w:rsidRPr="003B2C7F" w:rsidP="003B2C7F">
      <w:pPr>
        <w:pStyle w:val="ListBullet"/>
      </w:pPr>
      <w:r w:rsidRPr="003B2C7F">
        <w:t>identify the relevant fiduciary duty, substituted decision-making and ethical decision-making principles, and associated legislative requirements</w:t>
      </w:r>
    </w:p>
    <w:p w:rsidR="00000000" w:rsidRPr="003B2C7F" w:rsidP="003B2C7F">
      <w:pPr>
        <w:pStyle w:val="ListBullet"/>
      </w:pPr>
      <w:r w:rsidRPr="003B2C7F">
        <w:t xml:space="preserve">explain to client or relevant stakeholder how that decision meets their needs and interests and upholds their </w:t>
      </w:r>
      <w:r w:rsidRPr="003B2C7F">
        <w:t>rights.</w:t>
      </w:r>
    </w:p>
    <w:p w:rsidR="00000000" w:rsidRPr="003B2C7F" w:rsidP="003B2C7F">
      <w:pPr>
        <w:pStyle w:val="AllowPageBreak"/>
      </w:pPr>
    </w:p>
    <w:p w:rsidR="00000000" w:rsidRPr="003B2C7F" w:rsidP="003B2C7F">
      <w:pPr>
        <w:pStyle w:val="Heading1"/>
      </w:pPr>
      <w:bookmarkStart w:id="3" w:name="O_1230921"/>
      <w:bookmarkEnd w:id="3"/>
      <w:r w:rsidRPr="003B2C7F">
        <w:t>Knowledge Evidence</w:t>
      </w:r>
    </w:p>
    <w:p w:rsidR="00000000" w:rsidRPr="003B2C7F" w:rsidP="005C7A2B">
      <w:pPr>
        <w:pStyle w:val="BodyText"/>
      </w:pPr>
      <w:r w:rsidRPr="003B2C7F">
        <w:t>The candidate must be able to demonstrate knowledge to complete the tasks outlined in the elements, performance criteria and foundation skills of this unit, including knowledge of:</w:t>
      </w:r>
    </w:p>
    <w:p w:rsidR="00000000" w:rsidRPr="003B2C7F" w:rsidP="003B2C7F">
      <w:pPr>
        <w:pStyle w:val="ListBullet"/>
      </w:pPr>
      <w:r w:rsidRPr="003B2C7F">
        <w:t xml:space="preserve">key elements of legislative </w:t>
      </w:r>
      <w:r w:rsidRPr="003B2C7F">
        <w:t>requirements, including common law, that apply when providing traditional trustee services to clients, including:</w:t>
      </w:r>
    </w:p>
    <w:p w:rsidR="00000000" w:rsidRPr="003B2C7F" w:rsidP="003B2C7F">
      <w:pPr>
        <w:pStyle w:val="ListBullet2"/>
      </w:pPr>
      <w:r w:rsidRPr="003B2C7F">
        <w:t>fiduciary duty</w:t>
      </w:r>
    </w:p>
    <w:p w:rsidR="00000000" w:rsidRPr="003B2C7F" w:rsidP="003B2C7F">
      <w:pPr>
        <w:pStyle w:val="ListBullet2"/>
      </w:pPr>
      <w:r w:rsidRPr="003B2C7F">
        <w:t>substituted decision making</w:t>
      </w:r>
    </w:p>
    <w:p w:rsidR="00000000" w:rsidRPr="003B2C7F" w:rsidP="003B2C7F">
      <w:pPr>
        <w:pStyle w:val="ListBullet2"/>
      </w:pPr>
      <w:r w:rsidRPr="003B2C7F">
        <w:t xml:space="preserve">ethics </w:t>
      </w:r>
    </w:p>
    <w:p w:rsidR="00000000" w:rsidRPr="003B2C7F" w:rsidP="003B2C7F">
      <w:pPr>
        <w:pStyle w:val="ListBullet"/>
      </w:pPr>
      <w:r w:rsidRPr="003B2C7F">
        <w:t>key elements of the prudent person principle, including:</w:t>
      </w:r>
    </w:p>
    <w:p w:rsidR="00000000" w:rsidRPr="003B2C7F" w:rsidP="003B2C7F">
      <w:pPr>
        <w:pStyle w:val="ListBullet2"/>
      </w:pPr>
      <w:r w:rsidRPr="003B2C7F">
        <w:t>diversification</w:t>
      </w:r>
    </w:p>
    <w:p w:rsidR="00000000" w:rsidRPr="003B2C7F" w:rsidP="003B2C7F">
      <w:pPr>
        <w:pStyle w:val="ListBullet2"/>
      </w:pPr>
      <w:r w:rsidRPr="003B2C7F">
        <w:t>investment risk</w:t>
      </w:r>
      <w:r w:rsidRPr="003B2C7F">
        <w:t>s, including losing capital or income</w:t>
      </w:r>
    </w:p>
    <w:p w:rsidR="00000000" w:rsidRPr="003B2C7F" w:rsidP="003B2C7F">
      <w:pPr>
        <w:pStyle w:val="ListBullet2"/>
      </w:pPr>
      <w:r w:rsidRPr="003B2C7F">
        <w:t>capital maintenance</w:t>
      </w:r>
    </w:p>
    <w:p w:rsidR="00000000" w:rsidRPr="003B2C7F" w:rsidP="003B2C7F">
      <w:pPr>
        <w:pStyle w:val="ListBullet2"/>
      </w:pPr>
      <w:r w:rsidRPr="003B2C7F">
        <w:t>capital depreciation</w:t>
      </w:r>
    </w:p>
    <w:p w:rsidR="00000000" w:rsidRPr="003B2C7F" w:rsidP="003B2C7F">
      <w:pPr>
        <w:pStyle w:val="ListBullet2"/>
      </w:pPr>
      <w:r w:rsidRPr="003B2C7F">
        <w:t>capital appreciation</w:t>
      </w:r>
    </w:p>
    <w:p w:rsidR="00000000" w:rsidRPr="003B2C7F" w:rsidP="003B2C7F">
      <w:pPr>
        <w:pStyle w:val="ListBullet2"/>
      </w:pPr>
      <w:r w:rsidRPr="003B2C7F">
        <w:t>estimated income return</w:t>
      </w:r>
    </w:p>
    <w:p w:rsidR="00000000" w:rsidRPr="003B2C7F" w:rsidP="003B2C7F">
      <w:pPr>
        <w:pStyle w:val="ListBullet2"/>
      </w:pPr>
      <w:r w:rsidRPr="003B2C7F">
        <w:t>liquidity and marketability of proposed investments</w:t>
      </w:r>
    </w:p>
    <w:p w:rsidR="00000000" w:rsidRPr="003B2C7F" w:rsidP="003B2C7F">
      <w:pPr>
        <w:pStyle w:val="ListBullet2"/>
      </w:pPr>
      <w:r w:rsidRPr="003B2C7F">
        <w:t>aggregate value of estate in trust</w:t>
      </w:r>
    </w:p>
    <w:p w:rsidR="00000000" w:rsidRPr="003B2C7F" w:rsidP="003B2C7F">
      <w:pPr>
        <w:pStyle w:val="ListBullet"/>
      </w:pPr>
      <w:r w:rsidRPr="003B2C7F">
        <w:t>client needs, interests and rights relating to the requirements of fiduciary duty, substituted decision-making and ethical decision-making principles, including:</w:t>
      </w:r>
    </w:p>
    <w:p w:rsidR="00000000" w:rsidRPr="003B2C7F" w:rsidP="003B2C7F">
      <w:pPr>
        <w:pStyle w:val="ListBullet2"/>
      </w:pPr>
      <w:r w:rsidRPr="003B2C7F">
        <w:t>physical and emotional security</w:t>
      </w:r>
    </w:p>
    <w:p w:rsidR="00000000" w:rsidRPr="003B2C7F" w:rsidP="003B2C7F">
      <w:pPr>
        <w:pStyle w:val="ListBullet2"/>
      </w:pPr>
      <w:r w:rsidRPr="003B2C7F">
        <w:t>support and care</w:t>
      </w:r>
    </w:p>
    <w:p w:rsidR="00000000" w:rsidRPr="003B2C7F" w:rsidP="003B2C7F">
      <w:pPr>
        <w:pStyle w:val="ListBullet2"/>
      </w:pPr>
      <w:r w:rsidRPr="003B2C7F">
        <w:t>economic support</w:t>
      </w:r>
    </w:p>
    <w:p w:rsidR="00000000" w:rsidRPr="003B2C7F" w:rsidP="003B2C7F">
      <w:pPr>
        <w:pStyle w:val="ListBullet2"/>
      </w:pPr>
      <w:r w:rsidRPr="003B2C7F">
        <w:t>household assistance and ma</w:t>
      </w:r>
      <w:r w:rsidRPr="003B2C7F">
        <w:t>intenance</w:t>
      </w:r>
    </w:p>
    <w:p w:rsidR="00000000" w:rsidRPr="003B2C7F" w:rsidP="003B2C7F">
      <w:pPr>
        <w:pStyle w:val="ListBullet2"/>
      </w:pPr>
      <w:r w:rsidRPr="003B2C7F">
        <w:t>possessions</w:t>
      </w:r>
    </w:p>
    <w:p w:rsidR="00000000" w:rsidRPr="003B2C7F" w:rsidP="003B2C7F">
      <w:pPr>
        <w:pStyle w:val="ListBullet2"/>
      </w:pPr>
      <w:r w:rsidRPr="003B2C7F">
        <w:t>bank accounts</w:t>
      </w:r>
    </w:p>
    <w:p w:rsidR="00000000" w:rsidRPr="003B2C7F" w:rsidP="003B2C7F">
      <w:pPr>
        <w:pStyle w:val="ListBullet2"/>
      </w:pPr>
      <w:r w:rsidRPr="003B2C7F">
        <w:t>accommodation</w:t>
      </w:r>
    </w:p>
    <w:p w:rsidR="00000000" w:rsidRPr="003B2C7F" w:rsidP="003B2C7F">
      <w:pPr>
        <w:pStyle w:val="ListBullet2"/>
      </w:pPr>
      <w:r w:rsidRPr="003B2C7F">
        <w:t>facilities</w:t>
      </w:r>
    </w:p>
    <w:p w:rsidR="00000000" w:rsidRPr="003B2C7F" w:rsidP="003B2C7F">
      <w:pPr>
        <w:pStyle w:val="ListBullet2"/>
      </w:pPr>
      <w:r w:rsidRPr="003B2C7F">
        <w:t>services available and desired</w:t>
      </w:r>
    </w:p>
    <w:p w:rsidR="00000000" w:rsidRPr="003B2C7F" w:rsidP="003B2C7F">
      <w:pPr>
        <w:pStyle w:val="ListBullet2"/>
      </w:pPr>
      <w:r w:rsidRPr="003B2C7F">
        <w:t>recreational pursuits</w:t>
      </w:r>
    </w:p>
    <w:p w:rsidR="00000000" w:rsidRPr="003B2C7F" w:rsidP="003B2C7F">
      <w:pPr>
        <w:pStyle w:val="ListBullet2"/>
      </w:pPr>
      <w:r w:rsidRPr="003B2C7F">
        <w:t>participation or non-participation to the degree desired</w:t>
      </w:r>
    </w:p>
    <w:p w:rsidR="00000000" w:rsidRPr="003B2C7F" w:rsidP="003B2C7F">
      <w:pPr>
        <w:pStyle w:val="ListBullet2"/>
      </w:pPr>
      <w:r w:rsidRPr="003B2C7F">
        <w:t>receive or refuse quality services</w:t>
      </w:r>
    </w:p>
    <w:p w:rsidR="00000000" w:rsidRPr="003B2C7F" w:rsidP="003B2C7F">
      <w:pPr>
        <w:pStyle w:val="ListBullet2"/>
      </w:pPr>
      <w:r w:rsidRPr="003B2C7F">
        <w:t>human rights, including the right to freedom from discrimination</w:t>
      </w:r>
    </w:p>
    <w:p w:rsidR="00000000" w:rsidRPr="003B2C7F" w:rsidP="003B2C7F">
      <w:pPr>
        <w:pStyle w:val="ListBullet"/>
      </w:pPr>
      <w:r w:rsidRPr="003B2C7F">
        <w:t>traditional trustee company products and services, including:</w:t>
      </w:r>
    </w:p>
    <w:p w:rsidR="00000000" w:rsidRPr="003B2C7F" w:rsidP="003B2C7F">
      <w:pPr>
        <w:pStyle w:val="ListBullet2"/>
      </w:pPr>
      <w:r w:rsidRPr="003B2C7F">
        <w:t>estate planning</w:t>
      </w:r>
    </w:p>
    <w:p w:rsidR="00000000" w:rsidRPr="003B2C7F" w:rsidP="003B2C7F">
      <w:pPr>
        <w:pStyle w:val="ListBullet2"/>
      </w:pPr>
      <w:r w:rsidRPr="003B2C7F">
        <w:t>writing wills</w:t>
      </w:r>
    </w:p>
    <w:p w:rsidR="00000000" w:rsidRPr="003B2C7F" w:rsidP="003B2C7F">
      <w:pPr>
        <w:pStyle w:val="ListBullet2"/>
      </w:pPr>
      <w:r w:rsidRPr="003B2C7F">
        <w:t>acting as executor of deceased estates</w:t>
      </w:r>
    </w:p>
    <w:p w:rsidR="00000000" w:rsidRPr="003B2C7F" w:rsidP="003B2C7F">
      <w:pPr>
        <w:pStyle w:val="ListBullet2"/>
      </w:pPr>
      <w:r w:rsidRPr="003B2C7F">
        <w:t>establishing and administering personal trusts</w:t>
      </w:r>
    </w:p>
    <w:p w:rsidR="00000000" w:rsidRPr="003B2C7F" w:rsidP="003B2C7F">
      <w:pPr>
        <w:pStyle w:val="ListBullet2"/>
      </w:pPr>
      <w:r w:rsidRPr="003B2C7F">
        <w:t>preparing a</w:t>
      </w:r>
      <w:r w:rsidRPr="003B2C7F">
        <w:t>nd administering powers of attorney</w:t>
      </w:r>
    </w:p>
    <w:p w:rsidR="00000000" w:rsidRPr="003B2C7F" w:rsidP="003B2C7F">
      <w:pPr>
        <w:pStyle w:val="ListBullet2"/>
      </w:pPr>
      <w:r w:rsidRPr="003B2C7F">
        <w:t>acting as guardian or financial manager, usually under court or tribunal order, to protect vulnerable beneficiaries</w:t>
      </w:r>
    </w:p>
    <w:p w:rsidR="00000000" w:rsidRPr="003B2C7F" w:rsidP="003B2C7F">
      <w:pPr>
        <w:pStyle w:val="ListBullet2"/>
      </w:pPr>
      <w:r w:rsidRPr="003B2C7F">
        <w:t>administering charitable trusts and foundations</w:t>
      </w:r>
    </w:p>
    <w:p w:rsidR="00000000" w:rsidRPr="003B2C7F" w:rsidP="003B2C7F">
      <w:pPr>
        <w:pStyle w:val="ListBullet"/>
      </w:pPr>
      <w:r w:rsidRPr="003B2C7F">
        <w:t>key sources of information on fiduciary duty, substitut</w:t>
      </w:r>
      <w:r w:rsidRPr="003B2C7F">
        <w:t>ed judgement and ethics and equity principles and associated legislative requirements, including:</w:t>
      </w:r>
    </w:p>
    <w:p w:rsidR="00000000" w:rsidRPr="003B2C7F" w:rsidP="003B2C7F">
      <w:pPr>
        <w:pStyle w:val="ListBullet2"/>
      </w:pPr>
      <w:r w:rsidRPr="003B2C7F">
        <w:t>courts</w:t>
      </w:r>
    </w:p>
    <w:p w:rsidR="00000000" w:rsidRPr="003B2C7F" w:rsidP="003B2C7F">
      <w:pPr>
        <w:pStyle w:val="ListBullet2"/>
      </w:pPr>
      <w:r w:rsidRPr="003B2C7F">
        <w:t>existing or proposed trust deeds</w:t>
      </w:r>
    </w:p>
    <w:p w:rsidR="00000000" w:rsidRPr="003B2C7F" w:rsidP="003B2C7F">
      <w:pPr>
        <w:pStyle w:val="ListBullet2"/>
      </w:pPr>
      <w:r w:rsidRPr="003B2C7F">
        <w:t>industry bodies</w:t>
      </w:r>
    </w:p>
    <w:p w:rsidR="00000000" w:rsidRPr="003B2C7F" w:rsidP="003B2C7F">
      <w:pPr>
        <w:pStyle w:val="ListBullet2"/>
      </w:pPr>
      <w:r w:rsidRPr="003B2C7F">
        <w:t>relevant federal, state and territory government organisations</w:t>
      </w:r>
    </w:p>
    <w:p w:rsidR="00000000" w:rsidRPr="003B2C7F" w:rsidP="003B2C7F">
      <w:pPr>
        <w:pStyle w:val="ListBullet2"/>
      </w:pPr>
      <w:r w:rsidRPr="003B2C7F">
        <w:t>organisational policies and procedures.</w:t>
      </w:r>
    </w:p>
    <w:p w:rsidR="00000000" w:rsidRPr="003B2C7F" w:rsidP="003B2C7F">
      <w:pPr>
        <w:pStyle w:val="AllowPageBreak"/>
      </w:pPr>
    </w:p>
    <w:p w:rsidR="00000000" w:rsidRPr="003B2C7F" w:rsidP="003B2C7F">
      <w:pPr>
        <w:pStyle w:val="Heading1"/>
      </w:pPr>
      <w:bookmarkStart w:id="4" w:name="O_1230922"/>
      <w:bookmarkEnd w:id="4"/>
      <w:r w:rsidRPr="003B2C7F">
        <w:t>Assessment Conditions</w:t>
      </w:r>
    </w:p>
    <w:p w:rsidR="00000000" w:rsidRPr="003B2C7F" w:rsidP="005C7A2B">
      <w:pPr>
        <w:pStyle w:val="BodyText"/>
      </w:pPr>
      <w:r w:rsidRPr="003B2C7F">
        <w:t>Skills in this unit must be demonstrated in a workplace or simulated environment where the conditions are typical of those in a working environment in this industry.</w:t>
      </w:r>
    </w:p>
    <w:p w:rsidR="00000000" w:rsidRPr="003B2C7F" w:rsidP="005C7A2B">
      <w:pPr>
        <w:pStyle w:val="BodyText"/>
      </w:pPr>
      <w:r w:rsidRPr="003B2C7F">
        <w:t>This incl</w:t>
      </w:r>
      <w:r w:rsidRPr="003B2C7F">
        <w:t>udes access to:</w:t>
      </w:r>
    </w:p>
    <w:p w:rsidR="00000000" w:rsidRPr="003B2C7F" w:rsidP="003B2C7F">
      <w:pPr>
        <w:pStyle w:val="ListBullet"/>
      </w:pPr>
      <w:r w:rsidRPr="003B2C7F">
        <w:t>office equipment, technology, software and consumables</w:t>
      </w:r>
    </w:p>
    <w:p w:rsidR="00000000" w:rsidRPr="003B2C7F" w:rsidP="003B2C7F">
      <w:pPr>
        <w:pStyle w:val="ListBullet"/>
      </w:pPr>
      <w:r w:rsidRPr="003B2C7F">
        <w:t>organisational policies and procedures, and legislation and regulations relating to trustee organisations.</w:t>
      </w:r>
    </w:p>
    <w:p w:rsidR="00000000" w:rsidRPr="003B2C7F" w:rsidP="003B2C7F">
      <w:pPr>
        <w:pStyle w:val="BodyText"/>
      </w:pPr>
    </w:p>
    <w:p w:rsidR="00000000" w:rsidRPr="003B2C7F" w:rsidP="005C7A2B">
      <w:pPr>
        <w:pStyle w:val="BodyText"/>
      </w:pPr>
      <w:r w:rsidRPr="003B2C7F">
        <w:t>Assessors of this unit must satisfy the requirements for assessors in applic</w:t>
      </w:r>
      <w:r w:rsidRPr="003B2C7F">
        <w:t>able vocational education and training legislation, frameworks and/or standards.</w:t>
      </w:r>
    </w:p>
    <w:p w:rsidR="00000000" w:rsidRPr="003B2C7F" w:rsidP="003B2C7F">
      <w:pPr>
        <w:pStyle w:val="Heading1"/>
      </w:pPr>
      <w:bookmarkStart w:id="5" w:name="O_1230925"/>
      <w:bookmarkEnd w:id="5"/>
      <w:r w:rsidRPr="003B2C7F">
        <w:t>Links</w:t>
      </w:r>
    </w:p>
    <w:p w:rsidR="00000000" w:rsidRPr="003B2C7F" w:rsidP="005C7A2B">
      <w:pPr>
        <w:pStyle w:val="BodyText"/>
      </w:pPr>
      <w:r w:rsidRPr="003B2C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F1D0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B2C7F" w:rsidP="003B2C7F"/>
    <w:sectPr w:rsidSect="003B2C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7F" w:rsidRPr="005C7A2B" w:rsidP="005C7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B" w:rsidP="003B2C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A2B" w:rsidP="003B2C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7A2B" w:rsidP="003B2C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2C7F" w:rsidRPr="005C7A2B" w:rsidP="005C7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C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A2B" w:rsidRPr="002D2AF8" w:rsidP="003B2C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FNSPRT517 Apply principles of fiduciary duty, substituted decision making and ethical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C7A2B" w:rsidP="003B2C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8C3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B66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4CCE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2C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2C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2C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2C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2C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2C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2C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2C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2C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2C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2C7F"/>
  </w:style>
  <w:style w:type="character" w:customStyle="1" w:styleId="Heading1Char">
    <w:name w:val="Heading 1 Char"/>
    <w:basedOn w:val="DefaultParagraphFont"/>
    <w:link w:val="Heading1"/>
    <w:rsid w:val="003B2C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2C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2C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2C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2C7F"/>
    <w:rPr>
      <w:b/>
      <w:spacing w:val="0"/>
    </w:rPr>
  </w:style>
  <w:style w:type="paragraph" w:styleId="ListBullet2">
    <w:name w:val="List Bullet 2"/>
    <w:basedOn w:val="List2"/>
    <w:rsid w:val="003B2C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2C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2C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2C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2C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2C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2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2C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2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2C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2C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2C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2C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2C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2C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2C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2C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2C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2C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2C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2C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2C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2C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2C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2C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2C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2C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2C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2C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2C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2C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2C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2C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2C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2C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2C7F"/>
    <w:rPr>
      <w:i/>
    </w:rPr>
  </w:style>
  <w:style w:type="paragraph" w:styleId="Caption">
    <w:name w:val="caption"/>
    <w:basedOn w:val="BodyText"/>
    <w:next w:val="Normal"/>
    <w:qFormat/>
    <w:rsid w:val="003B2C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2C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2C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2C7F"/>
  </w:style>
  <w:style w:type="paragraph" w:styleId="TableofFigures">
    <w:name w:val="table of figures"/>
    <w:basedOn w:val="Normal"/>
    <w:next w:val="Normal"/>
    <w:semiHidden/>
    <w:rsid w:val="003B2C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2C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2C7F"/>
    <w:rPr>
      <w:rFonts w:ascii="Wingdings" w:hAnsi="Wingdings"/>
    </w:rPr>
  </w:style>
  <w:style w:type="paragraph" w:customStyle="1" w:styleId="TableHeading">
    <w:name w:val="Table Heading"/>
    <w:basedOn w:val="HeadingBase"/>
    <w:rsid w:val="003B2C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2C7F"/>
    <w:rPr>
      <w:color w:val="0033CC"/>
      <w:u w:val="none"/>
    </w:rPr>
  </w:style>
  <w:style w:type="paragraph" w:customStyle="1" w:styleId="BodyTextRight">
    <w:name w:val="Body Text Right"/>
    <w:basedOn w:val="BodyText"/>
    <w:rsid w:val="003B2C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2C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2C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2C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2C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2C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2C7F"/>
    <w:rPr>
      <w:sz w:val="32"/>
    </w:rPr>
  </w:style>
  <w:style w:type="paragraph" w:customStyle="1" w:styleId="HeadingProcedure">
    <w:name w:val="Heading Procedure"/>
    <w:basedOn w:val="HeadingBase"/>
    <w:next w:val="Normal"/>
    <w:rsid w:val="003B2C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2C7F"/>
    <w:pPr>
      <w:spacing w:before="60" w:after="60"/>
    </w:pPr>
  </w:style>
  <w:style w:type="paragraph" w:styleId="ListContinue">
    <w:name w:val="List Continue"/>
    <w:basedOn w:val="List"/>
    <w:rsid w:val="003B2C7F"/>
    <w:pPr>
      <w:ind w:firstLine="0"/>
    </w:pPr>
  </w:style>
  <w:style w:type="paragraph" w:customStyle="1" w:styleId="ListNote">
    <w:name w:val="List Note"/>
    <w:basedOn w:val="List"/>
    <w:rsid w:val="003B2C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2C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2C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2C7F"/>
    <w:rPr>
      <w:rFonts w:ascii="Courier New" w:hAnsi="Courier New"/>
    </w:rPr>
  </w:style>
  <w:style w:type="paragraph" w:customStyle="1" w:styleId="NoteBullet">
    <w:name w:val="Note Bullet"/>
    <w:basedOn w:val="Note"/>
    <w:rsid w:val="003B2C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2C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2C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2C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2C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2C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2C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2C7F"/>
    <w:rPr>
      <w:b/>
      <w:smallCaps/>
    </w:rPr>
  </w:style>
  <w:style w:type="paragraph" w:customStyle="1" w:styleId="TableListNumber">
    <w:name w:val="Table List Number"/>
    <w:basedOn w:val="ListNumber"/>
    <w:rsid w:val="003B2C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2C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2C7F"/>
    <w:pPr>
      <w:numPr>
        <w:numId w:val="9"/>
      </w:numPr>
    </w:pPr>
  </w:style>
  <w:style w:type="paragraph" w:customStyle="1" w:styleId="ListAlpha2">
    <w:name w:val="List Alpha 2"/>
    <w:basedOn w:val="List2"/>
    <w:rsid w:val="003B2C7F"/>
    <w:pPr>
      <w:numPr>
        <w:numId w:val="8"/>
      </w:numPr>
    </w:pPr>
  </w:style>
  <w:style w:type="paragraph" w:styleId="List2">
    <w:name w:val="List 2"/>
    <w:basedOn w:val="BodyText"/>
    <w:rsid w:val="003B2C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2C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2C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2C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2C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2C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2C7F"/>
    <w:pPr>
      <w:numPr>
        <w:numId w:val="4"/>
      </w:numPr>
    </w:pPr>
  </w:style>
  <w:style w:type="paragraph" w:styleId="ListContinue2">
    <w:name w:val="List Continue 2"/>
    <w:basedOn w:val="List2"/>
    <w:rsid w:val="003B2C7F"/>
    <w:pPr>
      <w:ind w:firstLine="0"/>
    </w:pPr>
  </w:style>
  <w:style w:type="paragraph" w:styleId="ListContinue3">
    <w:name w:val="List Continue 3"/>
    <w:basedOn w:val="List3"/>
    <w:rsid w:val="003B2C7F"/>
    <w:pPr>
      <w:ind w:left="1021" w:firstLine="0"/>
    </w:pPr>
  </w:style>
  <w:style w:type="paragraph" w:styleId="ListContinue4">
    <w:name w:val="List Continue 4"/>
    <w:basedOn w:val="List4"/>
    <w:rsid w:val="003B2C7F"/>
    <w:pPr>
      <w:ind w:firstLine="0"/>
    </w:pPr>
  </w:style>
  <w:style w:type="paragraph" w:styleId="ListContinue5">
    <w:name w:val="List Continue 5"/>
    <w:basedOn w:val="List5"/>
    <w:rsid w:val="003B2C7F"/>
    <w:pPr>
      <w:ind w:firstLine="0"/>
    </w:pPr>
  </w:style>
  <w:style w:type="paragraph" w:styleId="ListNumber3">
    <w:name w:val="List Number 3"/>
    <w:basedOn w:val="List3"/>
    <w:rsid w:val="003B2C7F"/>
    <w:pPr>
      <w:numPr>
        <w:numId w:val="5"/>
      </w:numPr>
    </w:pPr>
  </w:style>
  <w:style w:type="paragraph" w:styleId="ListNumber4">
    <w:name w:val="List Number 4"/>
    <w:basedOn w:val="List4"/>
    <w:rsid w:val="003B2C7F"/>
    <w:pPr>
      <w:numPr>
        <w:numId w:val="6"/>
      </w:numPr>
    </w:pPr>
  </w:style>
  <w:style w:type="paragraph" w:styleId="ListNumber5">
    <w:name w:val="List Number 5"/>
    <w:basedOn w:val="List5"/>
    <w:rsid w:val="003B2C7F"/>
    <w:pPr>
      <w:numPr>
        <w:numId w:val="7"/>
      </w:numPr>
    </w:pPr>
  </w:style>
  <w:style w:type="paragraph" w:styleId="BlockText">
    <w:name w:val="Block Text"/>
    <w:basedOn w:val="Normal"/>
    <w:rsid w:val="003B2C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2C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2C7F"/>
    <w:rPr>
      <w:sz w:val="16"/>
      <w:vertAlign w:val="superscript"/>
    </w:rPr>
  </w:style>
  <w:style w:type="character" w:customStyle="1" w:styleId="Symbols">
    <w:name w:val="Symbols"/>
    <w:basedOn w:val="DefaultParagraphFont"/>
    <w:rsid w:val="003B2C7F"/>
    <w:rPr>
      <w:rFonts w:ascii="Symbol" w:hAnsi="Symbol"/>
    </w:rPr>
  </w:style>
  <w:style w:type="character" w:customStyle="1" w:styleId="MenuOptions">
    <w:name w:val="Menu Options"/>
    <w:basedOn w:val="DefaultParagraphFont"/>
    <w:rsid w:val="003B2C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2C7F"/>
    <w:rPr>
      <w:b/>
    </w:rPr>
  </w:style>
  <w:style w:type="character" w:customStyle="1" w:styleId="Underlined">
    <w:name w:val="Underlined"/>
    <w:basedOn w:val="DefaultParagraphFont"/>
    <w:rsid w:val="003B2C7F"/>
    <w:rPr>
      <w:u w:val="single"/>
    </w:rPr>
  </w:style>
  <w:style w:type="paragraph" w:customStyle="1" w:styleId="TableBodyTextRight">
    <w:name w:val="Table Body Text Right"/>
    <w:basedOn w:val="TableBodyText"/>
    <w:rsid w:val="003B2C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2C7F"/>
    <w:rPr>
      <w:sz w:val="18"/>
    </w:rPr>
  </w:style>
  <w:style w:type="paragraph" w:customStyle="1" w:styleId="BodySmallRight">
    <w:name w:val="Body Small Right"/>
    <w:basedOn w:val="BodyTextRight"/>
    <w:rsid w:val="003B2C7F"/>
    <w:rPr>
      <w:sz w:val="18"/>
      <w:szCs w:val="18"/>
    </w:rPr>
  </w:style>
  <w:style w:type="paragraph" w:customStyle="1" w:styleId="MarginEdition">
    <w:name w:val="Margin Edition"/>
    <w:basedOn w:val="MarginNote"/>
    <w:rsid w:val="003B2C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2C7F"/>
    <w:rPr>
      <w:sz w:val="2"/>
      <w:szCs w:val="2"/>
    </w:rPr>
  </w:style>
  <w:style w:type="character" w:customStyle="1" w:styleId="Small">
    <w:name w:val="Small"/>
    <w:basedOn w:val="DefaultParagraphFont"/>
    <w:rsid w:val="003B2C7F"/>
    <w:rPr>
      <w:sz w:val="16"/>
    </w:rPr>
  </w:style>
  <w:style w:type="paragraph" w:customStyle="1" w:styleId="WideTable">
    <w:name w:val="Wide Table"/>
    <w:basedOn w:val="Normal"/>
    <w:rsid w:val="003B2C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2C7F"/>
  </w:style>
  <w:style w:type="paragraph" w:styleId="Quote">
    <w:name w:val="Quote"/>
    <w:basedOn w:val="Heading1"/>
    <w:link w:val="QuoteChar"/>
    <w:qFormat/>
    <w:rsid w:val="003B2C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2C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2C7F"/>
    <w:pPr>
      <w:pageBreakBefore/>
    </w:pPr>
  </w:style>
  <w:style w:type="paragraph" w:customStyle="1" w:styleId="Border">
    <w:name w:val="Border"/>
    <w:basedOn w:val="Normal"/>
    <w:qFormat/>
    <w:rsid w:val="003B2C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2C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2C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2C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2C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2C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2C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2C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2C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2C7F"/>
    <w:rPr>
      <w:u w:val="single"/>
    </w:rPr>
  </w:style>
  <w:style w:type="character" w:customStyle="1" w:styleId="BoldandItalics">
    <w:name w:val="Bold and Italics"/>
    <w:qFormat/>
    <w:rsid w:val="003B2C7F"/>
    <w:rPr>
      <w:b/>
      <w:i/>
      <w:u w:val="none"/>
    </w:rPr>
  </w:style>
  <w:style w:type="paragraph" w:styleId="BalloonText">
    <w:name w:val="Balloon Text"/>
    <w:basedOn w:val="Normal"/>
    <w:link w:val="BalloonTextChar"/>
    <w:rsid w:val="003B2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2C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2C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2C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2C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2C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2C7F"/>
    <w:pPr>
      <w:spacing w:before="0" w:after="0"/>
    </w:pPr>
  </w:style>
  <w:style w:type="paragraph" w:customStyle="1" w:styleId="BodyTextBold">
    <w:name w:val="Body Text Bold"/>
    <w:basedOn w:val="BodyText"/>
    <w:qFormat/>
    <w:rsid w:val="003B2C7F"/>
    <w:rPr>
      <w:b/>
    </w:rPr>
  </w:style>
  <w:style w:type="character" w:styleId="Hyperlink">
    <w:name w:val="Hyperlink"/>
    <w:basedOn w:val="DefaultParagraphFont"/>
    <w:uiPriority w:val="99"/>
    <w:unhideWhenUsed/>
    <w:rsid w:val="005C7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3513</Characters>
  <Application>Microsoft Office Word</Application>
  <DocSecurity>0</DocSecurity>
  <Lines>100</Lines>
  <Paragraphs>77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FNSPRT517 Apply principles of fiduciary duty, substituted decision making and ethical decision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