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2AE" w:rsidP="00947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FNSPRT516 Develop understanding of traditional trustee services</w:t>
      </w:r>
      <w:r>
        <w:fldChar w:fldCharType="end"/>
      </w:r>
    </w:p>
    <w:p w:rsidR="009472AE" w:rsidP="009472AE">
      <w:pPr>
        <w:pStyle w:val="Version"/>
        <w:sectPr w:rsidSect="00D11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8E1" w:rsidP="00D118E1">
      <w:pPr>
        <w:pStyle w:val="SuperHeading"/>
      </w:pPr>
      <w:r w:rsidRPr="00D118E1">
        <w:t>Assessment Requirements for FNSPRT516 Develop understanding of traditional trustee services</w:t>
      </w:r>
    </w:p>
    <w:p w:rsidR="00000000" w:rsidRPr="00D118E1" w:rsidP="00D118E1">
      <w:pPr>
        <w:pStyle w:val="Heading1"/>
      </w:pPr>
      <w:bookmarkStart w:id="1" w:name="O_1230900"/>
      <w:bookmarkEnd w:id="1"/>
      <w:r w:rsidRPr="00D118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11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8E1" w:rsidP="00D118E1">
            <w:pPr>
              <w:pStyle w:val="BodyText"/>
            </w:pPr>
            <w:r w:rsidRPr="00D118E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8E1">
            <w:pPr>
              <w:pStyle w:val="BodyText"/>
              <w:rPr>
                <w:lang w:val="en-NZ"/>
              </w:rPr>
            </w:pPr>
            <w:r w:rsidRPr="00D118E1">
              <w:rPr>
                <w:rStyle w:val="SpecialBold"/>
              </w:rPr>
              <w:t>Comments</w:t>
            </w:r>
          </w:p>
        </w:tc>
      </w:tr>
      <w:tr w:rsidTr="00D11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8E1">
            <w:pPr>
              <w:pStyle w:val="BodyText"/>
              <w:rPr>
                <w:lang w:val="en-NZ"/>
              </w:rPr>
            </w:pPr>
            <w:r w:rsidRPr="00D118E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8E1" w:rsidP="00D118E1">
            <w:pPr>
              <w:pStyle w:val="BodyText"/>
            </w:pPr>
            <w:r w:rsidRPr="00D118E1">
              <w:t>This version first released with the FNS Financial Services Training Package Version 8.0.</w:t>
            </w:r>
          </w:p>
          <w:p w:rsidR="00000000" w:rsidRPr="00D118E1" w:rsidP="00D118E1">
            <w:pPr>
              <w:pStyle w:val="BodyText"/>
            </w:pPr>
            <w:r w:rsidRPr="00D118E1">
              <w:t>Supe</w:t>
            </w:r>
            <w:r w:rsidRPr="00D118E1">
              <w:t>rsedes and is equivalent to FNSPRT506 Develop understanding of traditional trustee services.</w:t>
            </w:r>
          </w:p>
        </w:tc>
      </w:tr>
    </w:tbl>
    <w:p w:rsidR="00000000" w:rsidRPr="00D118E1" w:rsidP="00D118E1">
      <w:pPr>
        <w:pStyle w:val="BodyText"/>
      </w:pPr>
    </w:p>
    <w:p w:rsidR="00000000" w:rsidRPr="00D118E1" w:rsidP="00D118E1">
      <w:pPr>
        <w:pStyle w:val="AllowPageBreak"/>
      </w:pPr>
    </w:p>
    <w:p w:rsidR="00000000" w:rsidRPr="00D118E1" w:rsidP="00D118E1">
      <w:pPr>
        <w:pStyle w:val="Heading1"/>
      </w:pPr>
      <w:bookmarkStart w:id="2" w:name="O_1230901"/>
      <w:bookmarkEnd w:id="2"/>
      <w:r w:rsidRPr="00D118E1">
        <w:t>Performance Evidence</w:t>
      </w:r>
    </w:p>
    <w:p w:rsidR="00000000" w:rsidRPr="00D118E1" w:rsidP="009472AE">
      <w:pPr>
        <w:pStyle w:val="BodyText"/>
      </w:pPr>
      <w:r w:rsidRPr="00D118E1">
        <w:t>The candidate must demonstrate the ability to complete the tasks outlined in the elements, performance criteria and found</w:t>
      </w:r>
      <w:r w:rsidRPr="00D118E1">
        <w:t>ation skills of this unit, including evidence of the ability to:</w:t>
      </w:r>
    </w:p>
    <w:p w:rsidR="00000000" w:rsidRPr="00D118E1" w:rsidP="00D118E1">
      <w:pPr>
        <w:pStyle w:val="ListBullet"/>
      </w:pPr>
      <w:r w:rsidRPr="00D118E1">
        <w:t>determine the traditional trustee services appropriate for two different clients based on own developed understanding of available and suitable services.</w:t>
      </w:r>
    </w:p>
    <w:p w:rsidR="00000000" w:rsidRPr="00D118E1" w:rsidP="00D118E1">
      <w:pPr>
        <w:pStyle w:val="BodyText"/>
      </w:pPr>
    </w:p>
    <w:p w:rsidR="00000000" w:rsidRPr="00D118E1" w:rsidP="009472AE">
      <w:pPr>
        <w:pStyle w:val="BodyText"/>
      </w:pPr>
      <w:r w:rsidRPr="00D118E1">
        <w:t>In the course of the above, the candidate must:</w:t>
      </w:r>
    </w:p>
    <w:p w:rsidR="00000000" w:rsidRPr="00D118E1" w:rsidP="00D118E1">
      <w:pPr>
        <w:pStyle w:val="ListBullet"/>
      </w:pPr>
      <w:r w:rsidRPr="00D118E1">
        <w:t>explain to above clients the regulatory requirements, scope and ongoing obligations of providing traditional trustee services.</w:t>
      </w:r>
    </w:p>
    <w:p w:rsidR="00000000" w:rsidRPr="00D118E1" w:rsidP="00D118E1">
      <w:pPr>
        <w:pStyle w:val="AllowPageBreak"/>
      </w:pPr>
    </w:p>
    <w:p w:rsidR="00000000" w:rsidRPr="00D118E1" w:rsidP="00D118E1">
      <w:pPr>
        <w:pStyle w:val="Heading1"/>
      </w:pPr>
      <w:bookmarkStart w:id="3" w:name="O_1230902"/>
      <w:bookmarkEnd w:id="3"/>
      <w:r w:rsidRPr="00D118E1">
        <w:t>Knowledge Evidence</w:t>
      </w:r>
    </w:p>
    <w:p w:rsidR="00000000" w:rsidRPr="00D118E1" w:rsidP="009472AE">
      <w:pPr>
        <w:pStyle w:val="BodyText"/>
      </w:pPr>
      <w:r w:rsidRPr="00D118E1">
        <w:t xml:space="preserve">The candidate must be able to demonstrate </w:t>
      </w:r>
      <w:r w:rsidRPr="00D118E1">
        <w:t>knowledge to complete the tasks outlined in the elements, performance criteria and foundation skills of this unit, including knowledge of:</w:t>
      </w:r>
    </w:p>
    <w:p w:rsidR="00000000" w:rsidRPr="00D118E1" w:rsidP="00D118E1">
      <w:pPr>
        <w:pStyle w:val="ListBullet"/>
      </w:pPr>
      <w:r w:rsidRPr="00D118E1">
        <w:t>key regulatory requirements of traditional trustee services that a trustee organisation provides, including:</w:t>
      </w:r>
    </w:p>
    <w:p w:rsidR="00000000" w:rsidRPr="00D118E1" w:rsidP="00D118E1">
      <w:pPr>
        <w:pStyle w:val="ListBullet2"/>
      </w:pPr>
      <w:r w:rsidRPr="00D118E1">
        <w:t>public</w:t>
      </w:r>
      <w:r w:rsidRPr="00D118E1">
        <w:t xml:space="preserve"> trustee Acts for each state and territory</w:t>
      </w:r>
    </w:p>
    <w:p w:rsidR="00000000" w:rsidRPr="00D118E1" w:rsidP="00D118E1">
      <w:pPr>
        <w:pStyle w:val="ListBullet2"/>
      </w:pPr>
      <w:r w:rsidRPr="00D118E1">
        <w:t>licensing regime that authorises the provision of advice</w:t>
      </w:r>
    </w:p>
    <w:p w:rsidR="00000000" w:rsidRPr="00D118E1" w:rsidP="00D118E1">
      <w:pPr>
        <w:pStyle w:val="ListBullet"/>
      </w:pPr>
      <w:r w:rsidRPr="00D118E1">
        <w:t xml:space="preserve">key elements of the prudent person principle, including: </w:t>
      </w:r>
    </w:p>
    <w:p w:rsidR="00000000" w:rsidRPr="00D118E1" w:rsidP="00D118E1">
      <w:pPr>
        <w:pStyle w:val="ListBullet2"/>
      </w:pPr>
      <w:r w:rsidRPr="00D118E1">
        <w:t>diversification</w:t>
      </w:r>
    </w:p>
    <w:p w:rsidR="00000000" w:rsidRPr="00D118E1" w:rsidP="00D118E1">
      <w:pPr>
        <w:pStyle w:val="ListBullet2"/>
      </w:pPr>
      <w:r w:rsidRPr="00D118E1">
        <w:t>investment risks, including losing capital or income</w:t>
      </w:r>
    </w:p>
    <w:p w:rsidR="00000000" w:rsidRPr="00D118E1" w:rsidP="00D118E1">
      <w:pPr>
        <w:pStyle w:val="ListBullet2"/>
      </w:pPr>
      <w:r w:rsidRPr="00D118E1">
        <w:t>capital maintenance</w:t>
      </w:r>
    </w:p>
    <w:p w:rsidR="00000000" w:rsidRPr="00D118E1" w:rsidP="00D118E1">
      <w:pPr>
        <w:pStyle w:val="ListBullet2"/>
      </w:pPr>
      <w:r w:rsidRPr="00D118E1">
        <w:t>capital</w:t>
      </w:r>
      <w:r w:rsidRPr="00D118E1">
        <w:t xml:space="preserve"> depreciation</w:t>
      </w:r>
    </w:p>
    <w:p w:rsidR="00000000" w:rsidRPr="00D118E1" w:rsidP="00D118E1">
      <w:pPr>
        <w:pStyle w:val="ListBullet2"/>
      </w:pPr>
      <w:r w:rsidRPr="00D118E1">
        <w:t>capital appreciation</w:t>
      </w:r>
    </w:p>
    <w:p w:rsidR="00000000" w:rsidRPr="00D118E1" w:rsidP="00D118E1">
      <w:pPr>
        <w:pStyle w:val="ListBullet2"/>
      </w:pPr>
      <w:r w:rsidRPr="00D118E1">
        <w:t>estimated income return</w:t>
      </w:r>
    </w:p>
    <w:p w:rsidR="00000000" w:rsidRPr="00D118E1" w:rsidP="00D118E1">
      <w:pPr>
        <w:pStyle w:val="ListBullet2"/>
      </w:pPr>
      <w:r w:rsidRPr="00D118E1">
        <w:t>liquidity and marketability of proposed investments</w:t>
      </w:r>
    </w:p>
    <w:p w:rsidR="00000000" w:rsidRPr="00D118E1" w:rsidP="00D118E1">
      <w:pPr>
        <w:pStyle w:val="ListBullet2"/>
      </w:pPr>
      <w:r w:rsidRPr="00D118E1">
        <w:t>aggregate value of estate in trust</w:t>
      </w:r>
    </w:p>
    <w:p w:rsidR="00000000" w:rsidRPr="00D118E1" w:rsidP="00D118E1">
      <w:pPr>
        <w:pStyle w:val="ListBullet"/>
      </w:pPr>
      <w:r w:rsidRPr="00D118E1">
        <w:t>client circumstances relevant to determining investment outcomes, including:</w:t>
      </w:r>
    </w:p>
    <w:p w:rsidR="00000000" w:rsidRPr="00D118E1" w:rsidP="00D118E1">
      <w:pPr>
        <w:pStyle w:val="ListBullet2"/>
      </w:pPr>
      <w:r w:rsidRPr="00D118E1">
        <w:t>required rate of return</w:t>
      </w:r>
    </w:p>
    <w:p w:rsidR="00000000" w:rsidRPr="00D118E1" w:rsidP="00D118E1">
      <w:pPr>
        <w:pStyle w:val="ListBullet2"/>
      </w:pPr>
      <w:r w:rsidRPr="00D118E1">
        <w:t>stability of income</w:t>
      </w:r>
    </w:p>
    <w:p w:rsidR="00000000" w:rsidRPr="00D118E1" w:rsidP="00D118E1">
      <w:pPr>
        <w:pStyle w:val="ListBullet2"/>
      </w:pPr>
      <w:r w:rsidRPr="00D118E1">
        <w:t>mental capacity</w:t>
      </w:r>
    </w:p>
    <w:p w:rsidR="00000000" w:rsidRPr="00D118E1" w:rsidP="00D118E1">
      <w:pPr>
        <w:pStyle w:val="ListBullet2"/>
      </w:pPr>
      <w:r w:rsidRPr="00D118E1">
        <w:t>phase of life</w:t>
      </w:r>
    </w:p>
    <w:p w:rsidR="00000000" w:rsidRPr="00D118E1" w:rsidP="00D118E1">
      <w:pPr>
        <w:pStyle w:val="ListBullet2"/>
      </w:pPr>
      <w:r w:rsidRPr="00D118E1">
        <w:t>concerns of capital protection</w:t>
      </w:r>
    </w:p>
    <w:p w:rsidR="00000000" w:rsidRPr="00D118E1" w:rsidP="00D118E1">
      <w:pPr>
        <w:pStyle w:val="ListBullet"/>
      </w:pPr>
      <w:r w:rsidRPr="00D118E1">
        <w:t>key features of traditional trustee services, including:</w:t>
      </w:r>
    </w:p>
    <w:p w:rsidR="00000000" w:rsidRPr="00D118E1" w:rsidP="00D118E1">
      <w:pPr>
        <w:pStyle w:val="ListBullet2"/>
      </w:pPr>
      <w:r w:rsidRPr="00D118E1">
        <w:t>estate planning</w:t>
      </w:r>
    </w:p>
    <w:p w:rsidR="00000000" w:rsidRPr="00D118E1" w:rsidP="00D118E1">
      <w:pPr>
        <w:pStyle w:val="ListBullet2"/>
      </w:pPr>
      <w:r w:rsidRPr="00D118E1">
        <w:t>writing wills</w:t>
      </w:r>
    </w:p>
    <w:p w:rsidR="00000000" w:rsidRPr="00D118E1" w:rsidP="00D118E1">
      <w:pPr>
        <w:pStyle w:val="ListBullet2"/>
      </w:pPr>
      <w:r w:rsidRPr="00D118E1">
        <w:t>acting as executor of deceased estates</w:t>
      </w:r>
    </w:p>
    <w:p w:rsidR="00000000" w:rsidRPr="00D118E1" w:rsidP="00D118E1">
      <w:pPr>
        <w:pStyle w:val="ListBullet2"/>
      </w:pPr>
      <w:r w:rsidRPr="00D118E1">
        <w:t>establishing and administering personal trusts</w:t>
      </w:r>
    </w:p>
    <w:p w:rsidR="00000000" w:rsidRPr="00D118E1" w:rsidP="00D118E1">
      <w:pPr>
        <w:pStyle w:val="ListBullet2"/>
      </w:pPr>
      <w:r w:rsidRPr="00D118E1">
        <w:t>preparing and administering powers of attorney</w:t>
      </w:r>
    </w:p>
    <w:p w:rsidR="00000000" w:rsidRPr="00D118E1" w:rsidP="00D118E1">
      <w:pPr>
        <w:pStyle w:val="ListBullet2"/>
      </w:pPr>
      <w:r w:rsidRPr="00D118E1">
        <w:t>acting as guardian or financial manager, usually under court or tribunal order, to protect vulnerable beneficiaries</w:t>
      </w:r>
    </w:p>
    <w:p w:rsidR="00000000" w:rsidRPr="00D118E1" w:rsidP="00D118E1">
      <w:pPr>
        <w:pStyle w:val="ListBullet2"/>
      </w:pPr>
      <w:r w:rsidRPr="00D118E1">
        <w:t>administering charitable trusts and foundations</w:t>
      </w:r>
    </w:p>
    <w:p w:rsidR="00000000" w:rsidRPr="00D118E1" w:rsidP="00D118E1">
      <w:pPr>
        <w:pStyle w:val="ListBullet"/>
      </w:pPr>
      <w:r w:rsidRPr="00D118E1">
        <w:t>key features of different governing and founding instruments, including:</w:t>
      </w:r>
    </w:p>
    <w:p w:rsidR="00000000" w:rsidRPr="00D118E1" w:rsidP="00D118E1">
      <w:pPr>
        <w:pStyle w:val="ListBullet2"/>
      </w:pPr>
      <w:r w:rsidRPr="00D118E1">
        <w:t>will</w:t>
      </w:r>
    </w:p>
    <w:p w:rsidR="00000000" w:rsidRPr="00D118E1" w:rsidP="00D118E1">
      <w:pPr>
        <w:pStyle w:val="ListBullet2"/>
      </w:pPr>
      <w:r w:rsidRPr="00D118E1">
        <w:t>power of attorney</w:t>
      </w:r>
    </w:p>
    <w:p w:rsidR="00000000" w:rsidRPr="00D118E1" w:rsidP="00D118E1">
      <w:pPr>
        <w:pStyle w:val="ListBullet2"/>
      </w:pPr>
      <w:r w:rsidRPr="00D118E1">
        <w:t>trust deed</w:t>
      </w:r>
    </w:p>
    <w:p w:rsidR="00000000" w:rsidRPr="00D118E1" w:rsidP="00D118E1">
      <w:pPr>
        <w:pStyle w:val="ListBullet2"/>
      </w:pPr>
      <w:r w:rsidRPr="00D118E1">
        <w:t>court order.</w:t>
      </w:r>
    </w:p>
    <w:p w:rsidR="00000000" w:rsidRPr="00D118E1" w:rsidP="00D118E1">
      <w:pPr>
        <w:pStyle w:val="AllowPageBreak"/>
      </w:pPr>
    </w:p>
    <w:p w:rsidR="00000000" w:rsidRPr="00D118E1" w:rsidP="00D118E1">
      <w:pPr>
        <w:pStyle w:val="Heading1"/>
      </w:pPr>
      <w:bookmarkStart w:id="4" w:name="O_1230903"/>
      <w:bookmarkEnd w:id="4"/>
      <w:r w:rsidRPr="00D118E1">
        <w:t>Assessment Conditions</w:t>
      </w:r>
    </w:p>
    <w:p w:rsidR="00000000" w:rsidRPr="00D118E1" w:rsidP="009472AE">
      <w:pPr>
        <w:pStyle w:val="BodyText"/>
      </w:pPr>
      <w:r w:rsidRPr="00D118E1">
        <w:t>Skills in this unit must be demonstrated in a workplace or simulated environment where the con</w:t>
      </w:r>
      <w:r w:rsidRPr="00D118E1">
        <w:t>ditions are typical of those in a working environment in this industry.</w:t>
      </w:r>
    </w:p>
    <w:p w:rsidR="00000000" w:rsidRPr="00D118E1" w:rsidP="009472AE">
      <w:pPr>
        <w:pStyle w:val="BodyText"/>
      </w:pPr>
      <w:r w:rsidRPr="00D118E1">
        <w:t>This includes access to:</w:t>
      </w:r>
    </w:p>
    <w:p w:rsidR="00000000" w:rsidRPr="00D118E1" w:rsidP="00D118E1">
      <w:pPr>
        <w:pStyle w:val="ListBullet"/>
      </w:pPr>
      <w:r w:rsidRPr="00D118E1">
        <w:t>office equipment, technology, software and consumables</w:t>
      </w:r>
    </w:p>
    <w:p w:rsidR="00000000" w:rsidRPr="00D118E1" w:rsidP="00D118E1">
      <w:pPr>
        <w:pStyle w:val="ListBullet"/>
      </w:pPr>
      <w:r w:rsidRPr="00D118E1">
        <w:t>organisational policies and procedures, and legislation and regulations relating to traditional trustee</w:t>
      </w:r>
      <w:r w:rsidRPr="00D118E1">
        <w:t xml:space="preserve"> services.</w:t>
      </w:r>
    </w:p>
    <w:p w:rsidR="00000000" w:rsidRPr="00D118E1" w:rsidP="00D118E1">
      <w:pPr>
        <w:pStyle w:val="BodyText"/>
      </w:pPr>
    </w:p>
    <w:p w:rsidR="00000000" w:rsidRPr="00D118E1" w:rsidP="009472AE">
      <w:pPr>
        <w:pStyle w:val="BodyText"/>
      </w:pPr>
      <w:r w:rsidRPr="00D118E1">
        <w:t>Assessors of this unit must satisfy the requirements for assessors in applicable vocational education and training legislation, frameworks and/or standards.</w:t>
      </w:r>
    </w:p>
    <w:p w:rsidR="00000000" w:rsidRPr="00D118E1" w:rsidP="00D118E1">
      <w:pPr>
        <w:pStyle w:val="Heading1"/>
      </w:pPr>
      <w:bookmarkStart w:id="5" w:name="O_1230906"/>
      <w:bookmarkEnd w:id="5"/>
      <w:r w:rsidRPr="00D118E1">
        <w:t>Links</w:t>
      </w:r>
    </w:p>
    <w:p w:rsidR="00000000" w:rsidRPr="00D118E1" w:rsidP="009472AE">
      <w:pPr>
        <w:pStyle w:val="BodyText"/>
      </w:pPr>
      <w:r w:rsidRPr="00D118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36B4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118E1" w:rsidP="00D118E1"/>
    <w:sectPr w:rsidSect="00D118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8E1" w:rsidRPr="009472AE" w:rsidP="00947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E" w:rsidP="00D11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2AE" w:rsidP="00D11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72AE" w:rsidP="00D11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8E1" w:rsidRPr="009472AE" w:rsidP="00947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2AE" w:rsidRPr="002D2AF8" w:rsidP="00D11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FNSPRT516 Develop understanding of traditional trustee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472AE" w:rsidP="00D11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701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1E7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BEE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8E1"/>
  </w:style>
  <w:style w:type="character" w:customStyle="1" w:styleId="Heading1Char">
    <w:name w:val="Heading 1 Char"/>
    <w:basedOn w:val="DefaultParagraphFont"/>
    <w:link w:val="Heading1"/>
    <w:rsid w:val="00D11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8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8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8E1"/>
    <w:rPr>
      <w:b/>
      <w:spacing w:val="0"/>
    </w:rPr>
  </w:style>
  <w:style w:type="paragraph" w:styleId="ListBullet2">
    <w:name w:val="List Bullet 2"/>
    <w:basedOn w:val="List2"/>
    <w:rsid w:val="00D118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8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8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8E1"/>
    <w:rPr>
      <w:i/>
    </w:rPr>
  </w:style>
  <w:style w:type="paragraph" w:styleId="Caption">
    <w:name w:val="caption"/>
    <w:basedOn w:val="BodyText"/>
    <w:next w:val="Normal"/>
    <w:qFormat/>
    <w:rsid w:val="00D11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8E1"/>
  </w:style>
  <w:style w:type="paragraph" w:styleId="TableofFigures">
    <w:name w:val="table of figures"/>
    <w:basedOn w:val="Normal"/>
    <w:next w:val="Normal"/>
    <w:semiHidden/>
    <w:rsid w:val="00D11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8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8E1"/>
    <w:rPr>
      <w:rFonts w:ascii="Wingdings" w:hAnsi="Wingdings"/>
    </w:rPr>
  </w:style>
  <w:style w:type="paragraph" w:customStyle="1" w:styleId="TableHeading">
    <w:name w:val="Table Heading"/>
    <w:basedOn w:val="HeadingBase"/>
    <w:rsid w:val="00D11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8E1"/>
    <w:rPr>
      <w:color w:val="0033CC"/>
      <w:u w:val="none"/>
    </w:rPr>
  </w:style>
  <w:style w:type="paragraph" w:customStyle="1" w:styleId="BodyTextRight">
    <w:name w:val="Body Text Right"/>
    <w:basedOn w:val="BodyText"/>
    <w:rsid w:val="00D11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8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8E1"/>
    <w:rPr>
      <w:sz w:val="32"/>
    </w:rPr>
  </w:style>
  <w:style w:type="paragraph" w:customStyle="1" w:styleId="HeadingProcedure">
    <w:name w:val="Heading Procedure"/>
    <w:basedOn w:val="HeadingBase"/>
    <w:next w:val="Normal"/>
    <w:rsid w:val="00D11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8E1"/>
    <w:pPr>
      <w:spacing w:before="60" w:after="60"/>
    </w:pPr>
  </w:style>
  <w:style w:type="paragraph" w:styleId="ListContinue">
    <w:name w:val="List Continue"/>
    <w:basedOn w:val="List"/>
    <w:rsid w:val="00D118E1"/>
    <w:pPr>
      <w:ind w:firstLine="0"/>
    </w:pPr>
  </w:style>
  <w:style w:type="paragraph" w:customStyle="1" w:styleId="ListNote">
    <w:name w:val="List Note"/>
    <w:basedOn w:val="List"/>
    <w:rsid w:val="00D11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8E1"/>
    <w:rPr>
      <w:rFonts w:ascii="Courier New" w:hAnsi="Courier New"/>
    </w:rPr>
  </w:style>
  <w:style w:type="paragraph" w:customStyle="1" w:styleId="NoteBullet">
    <w:name w:val="Note Bullet"/>
    <w:basedOn w:val="Note"/>
    <w:rsid w:val="00D11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8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8E1"/>
    <w:rPr>
      <w:b/>
      <w:smallCaps/>
    </w:rPr>
  </w:style>
  <w:style w:type="paragraph" w:customStyle="1" w:styleId="TableListNumber">
    <w:name w:val="Table List Number"/>
    <w:basedOn w:val="ListNumber"/>
    <w:rsid w:val="00D11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8E1"/>
    <w:pPr>
      <w:numPr>
        <w:numId w:val="9"/>
      </w:numPr>
    </w:pPr>
  </w:style>
  <w:style w:type="paragraph" w:customStyle="1" w:styleId="ListAlpha2">
    <w:name w:val="List Alpha 2"/>
    <w:basedOn w:val="List2"/>
    <w:rsid w:val="00D118E1"/>
    <w:pPr>
      <w:numPr>
        <w:numId w:val="8"/>
      </w:numPr>
    </w:pPr>
  </w:style>
  <w:style w:type="paragraph" w:styleId="List2">
    <w:name w:val="List 2"/>
    <w:basedOn w:val="BodyText"/>
    <w:rsid w:val="00D11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8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8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8E1"/>
    <w:pPr>
      <w:numPr>
        <w:numId w:val="4"/>
      </w:numPr>
    </w:pPr>
  </w:style>
  <w:style w:type="paragraph" w:styleId="ListContinue2">
    <w:name w:val="List Continue 2"/>
    <w:basedOn w:val="List2"/>
    <w:rsid w:val="00D118E1"/>
    <w:pPr>
      <w:ind w:firstLine="0"/>
    </w:pPr>
  </w:style>
  <w:style w:type="paragraph" w:styleId="ListContinue3">
    <w:name w:val="List Continue 3"/>
    <w:basedOn w:val="List3"/>
    <w:rsid w:val="00D118E1"/>
    <w:pPr>
      <w:ind w:left="1021" w:firstLine="0"/>
    </w:pPr>
  </w:style>
  <w:style w:type="paragraph" w:styleId="ListContinue4">
    <w:name w:val="List Continue 4"/>
    <w:basedOn w:val="List4"/>
    <w:rsid w:val="00D118E1"/>
    <w:pPr>
      <w:ind w:firstLine="0"/>
    </w:pPr>
  </w:style>
  <w:style w:type="paragraph" w:styleId="ListContinue5">
    <w:name w:val="List Continue 5"/>
    <w:basedOn w:val="List5"/>
    <w:rsid w:val="00D118E1"/>
    <w:pPr>
      <w:ind w:firstLine="0"/>
    </w:pPr>
  </w:style>
  <w:style w:type="paragraph" w:styleId="ListNumber3">
    <w:name w:val="List Number 3"/>
    <w:basedOn w:val="List3"/>
    <w:rsid w:val="00D118E1"/>
    <w:pPr>
      <w:numPr>
        <w:numId w:val="5"/>
      </w:numPr>
    </w:pPr>
  </w:style>
  <w:style w:type="paragraph" w:styleId="ListNumber4">
    <w:name w:val="List Number 4"/>
    <w:basedOn w:val="List4"/>
    <w:rsid w:val="00D118E1"/>
    <w:pPr>
      <w:numPr>
        <w:numId w:val="6"/>
      </w:numPr>
    </w:pPr>
  </w:style>
  <w:style w:type="paragraph" w:styleId="ListNumber5">
    <w:name w:val="List Number 5"/>
    <w:basedOn w:val="List5"/>
    <w:rsid w:val="00D118E1"/>
    <w:pPr>
      <w:numPr>
        <w:numId w:val="7"/>
      </w:numPr>
    </w:pPr>
  </w:style>
  <w:style w:type="paragraph" w:styleId="BlockText">
    <w:name w:val="Block Text"/>
    <w:basedOn w:val="Normal"/>
    <w:rsid w:val="00D11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8E1"/>
    <w:rPr>
      <w:sz w:val="16"/>
      <w:vertAlign w:val="superscript"/>
    </w:rPr>
  </w:style>
  <w:style w:type="character" w:customStyle="1" w:styleId="Symbols">
    <w:name w:val="Symbols"/>
    <w:basedOn w:val="DefaultParagraphFont"/>
    <w:rsid w:val="00D118E1"/>
    <w:rPr>
      <w:rFonts w:ascii="Symbol" w:hAnsi="Symbol"/>
    </w:rPr>
  </w:style>
  <w:style w:type="character" w:customStyle="1" w:styleId="MenuOptions">
    <w:name w:val="Menu Options"/>
    <w:basedOn w:val="DefaultParagraphFont"/>
    <w:rsid w:val="00D11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8E1"/>
    <w:rPr>
      <w:b/>
    </w:rPr>
  </w:style>
  <w:style w:type="character" w:customStyle="1" w:styleId="Underlined">
    <w:name w:val="Underlined"/>
    <w:basedOn w:val="DefaultParagraphFont"/>
    <w:rsid w:val="00D118E1"/>
    <w:rPr>
      <w:u w:val="single"/>
    </w:rPr>
  </w:style>
  <w:style w:type="paragraph" w:customStyle="1" w:styleId="TableBodyTextRight">
    <w:name w:val="Table Body Text Right"/>
    <w:basedOn w:val="TableBodyText"/>
    <w:rsid w:val="00D11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8E1"/>
    <w:rPr>
      <w:sz w:val="18"/>
    </w:rPr>
  </w:style>
  <w:style w:type="paragraph" w:customStyle="1" w:styleId="BodySmallRight">
    <w:name w:val="Body Small Right"/>
    <w:basedOn w:val="BodyTextRight"/>
    <w:rsid w:val="00D118E1"/>
    <w:rPr>
      <w:sz w:val="18"/>
      <w:szCs w:val="18"/>
    </w:rPr>
  </w:style>
  <w:style w:type="paragraph" w:customStyle="1" w:styleId="MarginEdition">
    <w:name w:val="Margin Edition"/>
    <w:basedOn w:val="MarginNote"/>
    <w:rsid w:val="00D11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8E1"/>
    <w:rPr>
      <w:sz w:val="2"/>
      <w:szCs w:val="2"/>
    </w:rPr>
  </w:style>
  <w:style w:type="character" w:customStyle="1" w:styleId="Small">
    <w:name w:val="Small"/>
    <w:basedOn w:val="DefaultParagraphFont"/>
    <w:rsid w:val="00D118E1"/>
    <w:rPr>
      <w:sz w:val="16"/>
    </w:rPr>
  </w:style>
  <w:style w:type="paragraph" w:customStyle="1" w:styleId="WideTable">
    <w:name w:val="Wide Table"/>
    <w:basedOn w:val="Normal"/>
    <w:rsid w:val="00D11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8E1"/>
  </w:style>
  <w:style w:type="paragraph" w:styleId="Quote">
    <w:name w:val="Quote"/>
    <w:basedOn w:val="Heading1"/>
    <w:link w:val="QuoteChar"/>
    <w:qFormat/>
    <w:rsid w:val="00D11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8E1"/>
    <w:pPr>
      <w:pageBreakBefore/>
    </w:pPr>
  </w:style>
  <w:style w:type="paragraph" w:customStyle="1" w:styleId="Border">
    <w:name w:val="Border"/>
    <w:basedOn w:val="Normal"/>
    <w:qFormat/>
    <w:rsid w:val="00D11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8E1"/>
    <w:rPr>
      <w:u w:val="single"/>
    </w:rPr>
  </w:style>
  <w:style w:type="character" w:customStyle="1" w:styleId="BoldandItalics">
    <w:name w:val="Bold and Italics"/>
    <w:qFormat/>
    <w:rsid w:val="00D118E1"/>
    <w:rPr>
      <w:b/>
      <w:i/>
      <w:u w:val="none"/>
    </w:rPr>
  </w:style>
  <w:style w:type="paragraph" w:styleId="BalloonText">
    <w:name w:val="Balloon Text"/>
    <w:basedOn w:val="Normal"/>
    <w:link w:val="BalloonTextChar"/>
    <w:rsid w:val="00D11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8E1"/>
    <w:pPr>
      <w:spacing w:before="0" w:after="0"/>
    </w:pPr>
  </w:style>
  <w:style w:type="paragraph" w:customStyle="1" w:styleId="BodyTextBold">
    <w:name w:val="Body Text Bold"/>
    <w:basedOn w:val="BodyText"/>
    <w:qFormat/>
    <w:rsid w:val="00D118E1"/>
    <w:rPr>
      <w:b/>
    </w:rPr>
  </w:style>
  <w:style w:type="character" w:styleId="Hyperlink">
    <w:name w:val="Hyperlink"/>
    <w:basedOn w:val="DefaultParagraphFont"/>
    <w:uiPriority w:val="99"/>
    <w:unhideWhenUsed/>
    <w:rsid w:val="00947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2821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FNSPRT516 Develop understanding of traditional trustee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