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49B" w:rsidP="00E32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FNSPRT514 Develop and maintain knowledge of the regulatory environment relevant to trustee organisations</w:t>
      </w:r>
      <w:r>
        <w:fldChar w:fldCharType="end"/>
      </w:r>
    </w:p>
    <w:p w:rsidR="00E3249B" w:rsidP="00E3249B">
      <w:pPr>
        <w:pStyle w:val="Version"/>
        <w:sectPr w:rsidSect="008104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40A" w:rsidP="0081040A">
      <w:pPr>
        <w:pStyle w:val="SuperHeading"/>
      </w:pPr>
      <w:r w:rsidRPr="0081040A">
        <w:t>Assessment Requirements for FNSPRT514 Develop and maintain knowledge of the regulatory environment relevant to trustee organisations</w:t>
      </w:r>
    </w:p>
    <w:p w:rsidR="00000000" w:rsidRPr="0081040A" w:rsidP="0081040A">
      <w:pPr>
        <w:pStyle w:val="Heading1"/>
      </w:pPr>
      <w:bookmarkStart w:id="1" w:name="O_1230862"/>
      <w:bookmarkEnd w:id="1"/>
      <w:r w:rsidRPr="008104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10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40A" w:rsidP="0081040A">
            <w:pPr>
              <w:pStyle w:val="BodyText"/>
            </w:pPr>
            <w:r w:rsidRPr="0081040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0A">
            <w:pPr>
              <w:pStyle w:val="BodyText"/>
              <w:rPr>
                <w:lang w:val="en-NZ"/>
              </w:rPr>
            </w:pPr>
            <w:r w:rsidRPr="0081040A">
              <w:rPr>
                <w:rStyle w:val="SpecialBold"/>
              </w:rPr>
              <w:t>Comments</w:t>
            </w:r>
          </w:p>
        </w:tc>
      </w:tr>
      <w:tr w:rsidTr="008104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0A">
            <w:pPr>
              <w:pStyle w:val="BodyText"/>
              <w:rPr>
                <w:lang w:val="en-NZ"/>
              </w:rPr>
            </w:pPr>
            <w:r w:rsidRPr="0081040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40A" w:rsidP="0081040A">
            <w:pPr>
              <w:pStyle w:val="BodyText"/>
            </w:pPr>
            <w:r w:rsidRPr="0081040A">
              <w:t>This version first released with the FNS Financial Services Training Package Version 8.0.</w:t>
            </w:r>
          </w:p>
          <w:p w:rsidR="00000000" w:rsidRPr="0081040A" w:rsidP="0081040A">
            <w:pPr>
              <w:pStyle w:val="BodyText"/>
            </w:pPr>
            <w:r w:rsidRPr="0081040A">
              <w:t>Supersedes and is equivalent to FNSPRT504 Apply knowledge of the regulatory environment relevant to trustee organisations.</w:t>
            </w:r>
          </w:p>
        </w:tc>
      </w:tr>
    </w:tbl>
    <w:p w:rsidR="00000000" w:rsidRPr="0081040A" w:rsidP="0081040A">
      <w:pPr>
        <w:pStyle w:val="BodyText"/>
      </w:pPr>
    </w:p>
    <w:p w:rsidR="00000000" w:rsidRPr="0081040A" w:rsidP="0081040A">
      <w:pPr>
        <w:pStyle w:val="AllowPageBreak"/>
      </w:pPr>
    </w:p>
    <w:p w:rsidR="00000000" w:rsidRPr="0081040A" w:rsidP="0081040A">
      <w:pPr>
        <w:pStyle w:val="Heading1"/>
      </w:pPr>
      <w:bookmarkStart w:id="2" w:name="O_1230863"/>
      <w:bookmarkEnd w:id="2"/>
      <w:r w:rsidRPr="0081040A">
        <w:t>Performance Evidence</w:t>
      </w:r>
    </w:p>
    <w:p w:rsidR="00000000" w:rsidRPr="0081040A" w:rsidP="00E3249B">
      <w:pPr>
        <w:pStyle w:val="BodyText"/>
      </w:pPr>
      <w:r w:rsidRPr="0081040A">
        <w:t>T</w:t>
      </w:r>
      <w:r w:rsidRPr="0081040A">
        <w:t>he candidate must demonstrate the ability to complete the tasks outlined in the elements, performance criteria and foundation skills of this unit, including evidence of the ability to:</w:t>
      </w:r>
    </w:p>
    <w:p w:rsidR="00000000" w:rsidRPr="0081040A" w:rsidP="0081040A">
      <w:pPr>
        <w:pStyle w:val="ListBullet"/>
      </w:pPr>
      <w:r w:rsidRPr="0081040A">
        <w:t>develop and apply knowledge of at least two regulatory requirements fo</w:t>
      </w:r>
      <w:r w:rsidRPr="0081040A">
        <w:t>r one public and one private trustee organisation</w:t>
      </w:r>
    </w:p>
    <w:p w:rsidR="00000000" w:rsidRPr="0081040A" w:rsidP="0081040A">
      <w:pPr>
        <w:pStyle w:val="ListBullet"/>
      </w:pPr>
      <w:r w:rsidRPr="0081040A">
        <w:t>identify and implement a process to ensure own knowledge of regulatory requirements relating to own role is updated and maintained.</w:t>
      </w:r>
    </w:p>
    <w:p w:rsidR="00000000" w:rsidRPr="0081040A" w:rsidP="0081040A">
      <w:pPr>
        <w:pStyle w:val="BodyText"/>
      </w:pPr>
    </w:p>
    <w:p w:rsidR="00000000" w:rsidRPr="0081040A" w:rsidP="00E3249B">
      <w:pPr>
        <w:pStyle w:val="BodyText"/>
      </w:pPr>
      <w:r w:rsidRPr="0081040A">
        <w:t>In the course of the above, the candidate must:</w:t>
      </w:r>
    </w:p>
    <w:p w:rsidR="00000000" w:rsidRPr="0081040A" w:rsidP="0081040A">
      <w:pPr>
        <w:pStyle w:val="ListBullet"/>
      </w:pPr>
      <w:r w:rsidRPr="0081040A">
        <w:t>comply with regulatory requirements in relation to organisational products and services</w:t>
      </w:r>
    </w:p>
    <w:p w:rsidR="00000000" w:rsidRPr="0081040A" w:rsidP="0081040A">
      <w:pPr>
        <w:pStyle w:val="ListBullet"/>
      </w:pPr>
      <w:r w:rsidRPr="0081040A">
        <w:t>develop and apply mitigation strategies that may reduce probable or potential chance of non-compliance.</w:t>
      </w:r>
    </w:p>
    <w:p w:rsidR="00000000" w:rsidRPr="0081040A" w:rsidP="0081040A">
      <w:pPr>
        <w:pStyle w:val="AllowPageBreak"/>
      </w:pPr>
    </w:p>
    <w:p w:rsidR="00000000" w:rsidRPr="0081040A" w:rsidP="0081040A">
      <w:pPr>
        <w:pStyle w:val="Heading1"/>
      </w:pPr>
      <w:bookmarkStart w:id="3" w:name="O_1230864"/>
      <w:bookmarkEnd w:id="3"/>
      <w:r w:rsidRPr="0081040A">
        <w:t>Knowledge Evidence</w:t>
      </w:r>
    </w:p>
    <w:p w:rsidR="00000000" w:rsidRPr="0081040A" w:rsidP="00E3249B">
      <w:pPr>
        <w:pStyle w:val="BodyText"/>
      </w:pPr>
      <w:r w:rsidRPr="0081040A">
        <w:t>The candidate must be able</w:t>
      </w:r>
      <w:r w:rsidRPr="0081040A">
        <w:t xml:space="preserve"> to demonstrate knowledge to complete the tasks outlined in the elements, performance criteria and foundation skills of this unit, including knowledge of:</w:t>
      </w:r>
    </w:p>
    <w:p w:rsidR="00000000" w:rsidRPr="0081040A" w:rsidP="0081040A">
      <w:pPr>
        <w:pStyle w:val="ListBullet"/>
      </w:pPr>
      <w:r w:rsidRPr="0081040A">
        <w:t>traditional trustee organisation products and services, including:</w:t>
      </w:r>
    </w:p>
    <w:p w:rsidR="00000000" w:rsidRPr="0081040A" w:rsidP="0081040A">
      <w:pPr>
        <w:pStyle w:val="ListBullet2"/>
      </w:pPr>
      <w:r w:rsidRPr="0081040A">
        <w:t>estate planning</w:t>
      </w:r>
    </w:p>
    <w:p w:rsidR="00000000" w:rsidRPr="0081040A" w:rsidP="0081040A">
      <w:pPr>
        <w:pStyle w:val="ListBullet2"/>
      </w:pPr>
      <w:r w:rsidRPr="0081040A">
        <w:t>writing wills</w:t>
      </w:r>
    </w:p>
    <w:p w:rsidR="00000000" w:rsidRPr="0081040A" w:rsidP="0081040A">
      <w:pPr>
        <w:pStyle w:val="ListBullet2"/>
      </w:pPr>
      <w:r w:rsidRPr="0081040A">
        <w:t>ac</w:t>
      </w:r>
      <w:r w:rsidRPr="0081040A">
        <w:t>ting as executor of deceased estates</w:t>
      </w:r>
    </w:p>
    <w:p w:rsidR="00000000" w:rsidRPr="0081040A" w:rsidP="0081040A">
      <w:pPr>
        <w:pStyle w:val="ListBullet2"/>
      </w:pPr>
      <w:r w:rsidRPr="0081040A">
        <w:t>establishing and administering personal trusts</w:t>
      </w:r>
    </w:p>
    <w:p w:rsidR="00000000" w:rsidRPr="0081040A" w:rsidP="0081040A">
      <w:pPr>
        <w:pStyle w:val="ListBullet2"/>
      </w:pPr>
      <w:r w:rsidRPr="0081040A">
        <w:t>preparing and administering powers of attorney</w:t>
      </w:r>
    </w:p>
    <w:p w:rsidR="00000000" w:rsidRPr="0081040A" w:rsidP="0081040A">
      <w:pPr>
        <w:pStyle w:val="ListBullet2"/>
      </w:pPr>
      <w:r w:rsidRPr="0081040A">
        <w:t>acting as guardian or financial manager, usually under court or tribunal order, to protect vulnerable beneficiaries</w:t>
      </w:r>
    </w:p>
    <w:p w:rsidR="00000000" w:rsidRPr="0081040A" w:rsidP="0081040A">
      <w:pPr>
        <w:pStyle w:val="ListBullet2"/>
      </w:pPr>
      <w:r w:rsidRPr="0081040A">
        <w:t>administering charitable trusts and foundations</w:t>
      </w:r>
    </w:p>
    <w:p w:rsidR="00000000" w:rsidRPr="0081040A" w:rsidP="0081040A">
      <w:pPr>
        <w:pStyle w:val="ListBullet"/>
      </w:pPr>
      <w:r w:rsidRPr="0081040A">
        <w:t>differences in products and services offered by public and private trustee organisations, including:</w:t>
      </w:r>
    </w:p>
    <w:p w:rsidR="00000000" w:rsidRPr="0081040A" w:rsidP="0081040A">
      <w:pPr>
        <w:pStyle w:val="ListBullet2"/>
      </w:pPr>
      <w:r w:rsidRPr="0081040A">
        <w:t>trustee or administrator for small super funds</w:t>
      </w:r>
    </w:p>
    <w:p w:rsidR="00000000" w:rsidRPr="0081040A" w:rsidP="0081040A">
      <w:pPr>
        <w:pStyle w:val="ListBullet2"/>
      </w:pPr>
      <w:r w:rsidRPr="0081040A">
        <w:t>providing tax advice and preparing tax returns</w:t>
      </w:r>
    </w:p>
    <w:p w:rsidR="00000000" w:rsidRPr="0081040A" w:rsidP="0081040A">
      <w:pPr>
        <w:pStyle w:val="ListBullet2"/>
      </w:pPr>
      <w:r w:rsidRPr="0081040A">
        <w:t>financial p</w:t>
      </w:r>
      <w:r w:rsidRPr="0081040A">
        <w:t>lanning</w:t>
      </w:r>
    </w:p>
    <w:p w:rsidR="00000000" w:rsidRPr="0081040A" w:rsidP="0081040A">
      <w:pPr>
        <w:pStyle w:val="ListBullet2"/>
      </w:pPr>
      <w:r w:rsidRPr="0081040A">
        <w:t>funds management</w:t>
      </w:r>
    </w:p>
    <w:p w:rsidR="00000000" w:rsidRPr="0081040A" w:rsidP="0081040A">
      <w:pPr>
        <w:pStyle w:val="ListBullet2"/>
      </w:pPr>
      <w:r w:rsidRPr="0081040A">
        <w:t>corporate activities, including registry operations, custodial services, trustee for debenture and convertible note issues, securitisation facilities, compliance monitoring, trustee or administrator for retail super funds</w:t>
      </w:r>
    </w:p>
    <w:p w:rsidR="00000000" w:rsidRPr="0081040A" w:rsidP="0081040A">
      <w:pPr>
        <w:pStyle w:val="ListBullet"/>
      </w:pPr>
      <w:r w:rsidRPr="0081040A">
        <w:t>relevant</w:t>
      </w:r>
      <w:r w:rsidRPr="0081040A">
        <w:t xml:space="preserve"> elements and any associated penalties for breaching key regulatory requirements when operating a trustee organisation providing products and services, including:</w:t>
      </w:r>
    </w:p>
    <w:p w:rsidR="00000000" w:rsidRPr="0081040A" w:rsidP="0081040A">
      <w:pPr>
        <w:pStyle w:val="ListBullet2"/>
      </w:pPr>
      <w:r w:rsidRPr="0081040A">
        <w:t>licensing regime</w:t>
      </w:r>
    </w:p>
    <w:p w:rsidR="00000000" w:rsidRPr="0081040A" w:rsidP="0081040A">
      <w:pPr>
        <w:pStyle w:val="ListBullet2"/>
      </w:pPr>
      <w:r w:rsidRPr="0081040A">
        <w:t>role of Australian Securities and Investments Commission (ASIC) including r</w:t>
      </w:r>
      <w:r w:rsidRPr="0081040A">
        <w:t>elevant regulatory guides and class orders</w:t>
      </w:r>
    </w:p>
    <w:p w:rsidR="00000000" w:rsidRPr="0081040A" w:rsidP="0081040A">
      <w:pPr>
        <w:pStyle w:val="ListBullet2"/>
      </w:pPr>
      <w:r w:rsidRPr="0081040A">
        <w:t>disclosure of capacity</w:t>
      </w:r>
    </w:p>
    <w:p w:rsidR="00000000" w:rsidRPr="0081040A" w:rsidP="0081040A">
      <w:pPr>
        <w:pStyle w:val="ListBullet2"/>
      </w:pPr>
      <w:r w:rsidRPr="0081040A">
        <w:t>fee transparency</w:t>
      </w:r>
    </w:p>
    <w:p w:rsidR="00000000" w:rsidRPr="0081040A" w:rsidP="0081040A">
      <w:pPr>
        <w:pStyle w:val="ListBullet2"/>
      </w:pPr>
      <w:r w:rsidRPr="0081040A">
        <w:t>financial services guides (FSG)</w:t>
      </w:r>
    </w:p>
    <w:p w:rsidR="00000000" w:rsidRPr="0081040A" w:rsidP="0081040A">
      <w:pPr>
        <w:pStyle w:val="ListBullet2"/>
      </w:pPr>
      <w:r w:rsidRPr="0081040A">
        <w:t>dispute resolution process</w:t>
      </w:r>
    </w:p>
    <w:p w:rsidR="00000000" w:rsidRPr="0081040A" w:rsidP="0081040A">
      <w:pPr>
        <w:pStyle w:val="ListBullet2"/>
      </w:pPr>
      <w:r w:rsidRPr="0081040A">
        <w:t>competency of representatives</w:t>
      </w:r>
    </w:p>
    <w:p w:rsidR="00000000" w:rsidRPr="0081040A" w:rsidP="0081040A">
      <w:pPr>
        <w:pStyle w:val="ListBullet2"/>
      </w:pPr>
      <w:r w:rsidRPr="0081040A">
        <w:t>fidelity duty of officers and employees</w:t>
      </w:r>
    </w:p>
    <w:p w:rsidR="00000000" w:rsidRPr="0081040A" w:rsidP="0081040A">
      <w:pPr>
        <w:pStyle w:val="ListBullet2"/>
      </w:pPr>
      <w:r w:rsidRPr="0081040A">
        <w:t>fee caps</w:t>
      </w:r>
    </w:p>
    <w:p w:rsidR="00000000" w:rsidRPr="0081040A" w:rsidP="0081040A">
      <w:pPr>
        <w:pStyle w:val="ListBullet2"/>
      </w:pPr>
      <w:r w:rsidRPr="0081040A">
        <w:t>financial management and risk management</w:t>
      </w:r>
    </w:p>
    <w:p w:rsidR="00000000" w:rsidRPr="0081040A" w:rsidP="0081040A">
      <w:pPr>
        <w:pStyle w:val="ListBullet"/>
      </w:pPr>
      <w:r w:rsidRPr="0081040A">
        <w:t>role of internal and external specialists relating to the application of regulatory requirements relevant to a trustee organisation</w:t>
      </w:r>
    </w:p>
    <w:p w:rsidR="00000000" w:rsidRPr="0081040A" w:rsidP="0081040A">
      <w:pPr>
        <w:pStyle w:val="ListBullet"/>
      </w:pPr>
      <w:r w:rsidRPr="0081040A">
        <w:t>key sources of information on regulatory requirements, including:</w:t>
      </w:r>
    </w:p>
    <w:p w:rsidR="00000000" w:rsidRPr="0081040A" w:rsidP="0081040A">
      <w:pPr>
        <w:pStyle w:val="ListBullet2"/>
      </w:pPr>
      <w:r w:rsidRPr="0081040A">
        <w:t>ASIC</w:t>
      </w:r>
    </w:p>
    <w:p w:rsidR="00000000" w:rsidRPr="0081040A" w:rsidP="0081040A">
      <w:pPr>
        <w:pStyle w:val="ListBullet2"/>
      </w:pPr>
      <w:r w:rsidRPr="0081040A">
        <w:t>Australian</w:t>
      </w:r>
      <w:r w:rsidRPr="0081040A">
        <w:t xml:space="preserve"> Taxation Office (ATO)</w:t>
      </w:r>
    </w:p>
    <w:p w:rsidR="00000000" w:rsidRPr="0081040A" w:rsidP="0081040A">
      <w:pPr>
        <w:pStyle w:val="ListBullet2"/>
      </w:pPr>
      <w:r w:rsidRPr="0081040A">
        <w:t>courts</w:t>
      </w:r>
    </w:p>
    <w:p w:rsidR="00000000" w:rsidRPr="0081040A" w:rsidP="0081040A">
      <w:pPr>
        <w:pStyle w:val="ListBullet2"/>
      </w:pPr>
      <w:r w:rsidRPr="0081040A">
        <w:t>existing or proposed trust deeds</w:t>
      </w:r>
    </w:p>
    <w:p w:rsidR="00000000" w:rsidRPr="0081040A" w:rsidP="0081040A">
      <w:pPr>
        <w:pStyle w:val="ListBullet2"/>
      </w:pPr>
      <w:r w:rsidRPr="0081040A">
        <w:t>fund managers</w:t>
      </w:r>
    </w:p>
    <w:p w:rsidR="00000000" w:rsidRPr="0081040A" w:rsidP="0081040A">
      <w:pPr>
        <w:pStyle w:val="ListBullet2"/>
      </w:pPr>
      <w:r w:rsidRPr="0081040A">
        <w:t>industry bodies</w:t>
      </w:r>
    </w:p>
    <w:p w:rsidR="00000000" w:rsidRPr="0081040A" w:rsidP="0081040A">
      <w:pPr>
        <w:pStyle w:val="ListBullet2"/>
      </w:pPr>
      <w:r w:rsidRPr="0081040A">
        <w:t>federal, state and territory organisations</w:t>
      </w:r>
    </w:p>
    <w:p w:rsidR="00000000" w:rsidRPr="0081040A" w:rsidP="0081040A">
      <w:pPr>
        <w:pStyle w:val="ListBullet2"/>
      </w:pPr>
      <w:r w:rsidRPr="0081040A">
        <w:t>organisational policy and procedure manuals.</w:t>
      </w:r>
    </w:p>
    <w:p w:rsidR="00000000" w:rsidRPr="0081040A" w:rsidP="0081040A">
      <w:pPr>
        <w:pStyle w:val="AllowPageBreak"/>
      </w:pPr>
    </w:p>
    <w:p w:rsidR="00000000" w:rsidRPr="0081040A" w:rsidP="0081040A">
      <w:pPr>
        <w:pStyle w:val="Heading1"/>
      </w:pPr>
      <w:bookmarkStart w:id="4" w:name="O_1230865"/>
      <w:bookmarkEnd w:id="4"/>
      <w:r w:rsidRPr="0081040A">
        <w:t>Assessment Conditions</w:t>
      </w:r>
    </w:p>
    <w:p w:rsidR="00000000" w:rsidRPr="0081040A" w:rsidP="00E3249B">
      <w:pPr>
        <w:pStyle w:val="BodyText"/>
      </w:pPr>
      <w:r w:rsidRPr="0081040A">
        <w:t>Ski</w:t>
      </w:r>
      <w:r w:rsidRPr="0081040A">
        <w:t>lls in this unit must be demonstrated in a workplace or simulated environment where the conditions are typical of those in a working environment in this industry.</w:t>
      </w:r>
    </w:p>
    <w:p w:rsidR="00000000" w:rsidRPr="0081040A" w:rsidP="00E3249B">
      <w:pPr>
        <w:pStyle w:val="BodyText"/>
      </w:pPr>
      <w:r w:rsidRPr="0081040A">
        <w:t>This includes access to:</w:t>
      </w:r>
    </w:p>
    <w:p w:rsidR="00000000" w:rsidRPr="0081040A" w:rsidP="0081040A">
      <w:pPr>
        <w:pStyle w:val="ListBullet"/>
      </w:pPr>
      <w:r w:rsidRPr="0081040A">
        <w:t>office equipment, technology, software and consumables</w:t>
      </w:r>
    </w:p>
    <w:p w:rsidR="00000000" w:rsidRPr="0081040A" w:rsidP="0081040A">
      <w:pPr>
        <w:pStyle w:val="ListBullet"/>
      </w:pPr>
      <w:r w:rsidRPr="0081040A">
        <w:t>organisation</w:t>
      </w:r>
      <w:r w:rsidRPr="0081040A">
        <w:t>al policies and procedures, and legislation and regulations relating to operating a trustee organisation and providing products and services.</w:t>
      </w:r>
    </w:p>
    <w:p w:rsidR="00000000" w:rsidRPr="0081040A" w:rsidP="0081040A">
      <w:pPr>
        <w:pStyle w:val="BodyText"/>
      </w:pPr>
    </w:p>
    <w:p w:rsidR="00000000" w:rsidRPr="0081040A" w:rsidP="00E3249B">
      <w:pPr>
        <w:pStyle w:val="BodyText"/>
      </w:pPr>
      <w:r w:rsidRPr="0081040A">
        <w:t>Assessors of this unit must satisfy the requirements for assessors in applicable vocational education and trainin</w:t>
      </w:r>
      <w:r w:rsidRPr="0081040A">
        <w:t>g legislation, frameworks and/or standards.</w:t>
      </w:r>
    </w:p>
    <w:p w:rsidR="00000000" w:rsidRPr="0081040A" w:rsidP="0081040A">
      <w:pPr>
        <w:pStyle w:val="Heading1"/>
      </w:pPr>
      <w:bookmarkStart w:id="5" w:name="O_1230868"/>
      <w:bookmarkEnd w:id="5"/>
      <w:r w:rsidRPr="0081040A">
        <w:t>Links</w:t>
      </w:r>
    </w:p>
    <w:p w:rsidR="00000000" w:rsidRPr="0081040A" w:rsidP="00E3249B">
      <w:pPr>
        <w:pStyle w:val="BodyText"/>
      </w:pPr>
      <w:r w:rsidRPr="008104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B6EC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1040A" w:rsidP="0081040A"/>
    <w:sectPr w:rsidSect="008104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0A" w:rsidRPr="00E3249B" w:rsidP="00E32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49B" w:rsidP="008104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49B" w:rsidP="008104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249B" w:rsidP="008104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40A" w:rsidRPr="00E3249B" w:rsidP="00E32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49B" w:rsidRPr="002D2AF8" w:rsidP="008104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FNSPRT514 Develop and maintain knowledge of the regulatory environment relevant to trustee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3249B" w:rsidP="008104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A89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A8B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BCAF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4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4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4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4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4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4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4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4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4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4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40A"/>
  </w:style>
  <w:style w:type="character" w:customStyle="1" w:styleId="Heading1Char">
    <w:name w:val="Heading 1 Char"/>
    <w:basedOn w:val="DefaultParagraphFont"/>
    <w:link w:val="Heading1"/>
    <w:rsid w:val="008104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4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4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4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40A"/>
    <w:rPr>
      <w:b/>
      <w:spacing w:val="0"/>
    </w:rPr>
  </w:style>
  <w:style w:type="paragraph" w:styleId="ListBullet2">
    <w:name w:val="List Bullet 2"/>
    <w:basedOn w:val="List2"/>
    <w:rsid w:val="008104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4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4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4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4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4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4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4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4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4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4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4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4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4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4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4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4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4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4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4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4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4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4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4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4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4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4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4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4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4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4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4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4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40A"/>
    <w:rPr>
      <w:i/>
    </w:rPr>
  </w:style>
  <w:style w:type="paragraph" w:styleId="Caption">
    <w:name w:val="caption"/>
    <w:basedOn w:val="BodyText"/>
    <w:next w:val="Normal"/>
    <w:qFormat/>
    <w:rsid w:val="008104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4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4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40A"/>
  </w:style>
  <w:style w:type="paragraph" w:styleId="TableofFigures">
    <w:name w:val="table of figures"/>
    <w:basedOn w:val="Normal"/>
    <w:next w:val="Normal"/>
    <w:semiHidden/>
    <w:rsid w:val="008104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4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40A"/>
    <w:rPr>
      <w:rFonts w:ascii="Wingdings" w:hAnsi="Wingdings"/>
    </w:rPr>
  </w:style>
  <w:style w:type="paragraph" w:customStyle="1" w:styleId="TableHeading">
    <w:name w:val="Table Heading"/>
    <w:basedOn w:val="HeadingBase"/>
    <w:rsid w:val="008104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40A"/>
    <w:rPr>
      <w:color w:val="0033CC"/>
      <w:u w:val="none"/>
    </w:rPr>
  </w:style>
  <w:style w:type="paragraph" w:customStyle="1" w:styleId="BodyTextRight">
    <w:name w:val="Body Text Right"/>
    <w:basedOn w:val="BodyText"/>
    <w:rsid w:val="008104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4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4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4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4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4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40A"/>
    <w:rPr>
      <w:sz w:val="32"/>
    </w:rPr>
  </w:style>
  <w:style w:type="paragraph" w:customStyle="1" w:styleId="HeadingProcedure">
    <w:name w:val="Heading Procedure"/>
    <w:basedOn w:val="HeadingBase"/>
    <w:next w:val="Normal"/>
    <w:rsid w:val="008104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40A"/>
    <w:pPr>
      <w:spacing w:before="60" w:after="60"/>
    </w:pPr>
  </w:style>
  <w:style w:type="paragraph" w:styleId="ListContinue">
    <w:name w:val="List Continue"/>
    <w:basedOn w:val="List"/>
    <w:rsid w:val="0081040A"/>
    <w:pPr>
      <w:ind w:firstLine="0"/>
    </w:pPr>
  </w:style>
  <w:style w:type="paragraph" w:customStyle="1" w:styleId="ListNote">
    <w:name w:val="List Note"/>
    <w:basedOn w:val="List"/>
    <w:rsid w:val="008104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4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4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40A"/>
    <w:rPr>
      <w:rFonts w:ascii="Courier New" w:hAnsi="Courier New"/>
    </w:rPr>
  </w:style>
  <w:style w:type="paragraph" w:customStyle="1" w:styleId="NoteBullet">
    <w:name w:val="Note Bullet"/>
    <w:basedOn w:val="Note"/>
    <w:rsid w:val="008104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4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4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4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4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4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4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40A"/>
    <w:rPr>
      <w:b/>
      <w:smallCaps/>
    </w:rPr>
  </w:style>
  <w:style w:type="paragraph" w:customStyle="1" w:styleId="TableListNumber">
    <w:name w:val="Table List Number"/>
    <w:basedOn w:val="ListNumber"/>
    <w:rsid w:val="008104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4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40A"/>
    <w:pPr>
      <w:numPr>
        <w:numId w:val="9"/>
      </w:numPr>
    </w:pPr>
  </w:style>
  <w:style w:type="paragraph" w:customStyle="1" w:styleId="ListAlpha2">
    <w:name w:val="List Alpha 2"/>
    <w:basedOn w:val="List2"/>
    <w:rsid w:val="0081040A"/>
    <w:pPr>
      <w:numPr>
        <w:numId w:val="8"/>
      </w:numPr>
    </w:pPr>
  </w:style>
  <w:style w:type="paragraph" w:styleId="List2">
    <w:name w:val="List 2"/>
    <w:basedOn w:val="BodyText"/>
    <w:rsid w:val="008104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4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4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4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4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4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40A"/>
    <w:pPr>
      <w:numPr>
        <w:numId w:val="4"/>
      </w:numPr>
    </w:pPr>
  </w:style>
  <w:style w:type="paragraph" w:styleId="ListContinue2">
    <w:name w:val="List Continue 2"/>
    <w:basedOn w:val="List2"/>
    <w:rsid w:val="0081040A"/>
    <w:pPr>
      <w:ind w:firstLine="0"/>
    </w:pPr>
  </w:style>
  <w:style w:type="paragraph" w:styleId="ListContinue3">
    <w:name w:val="List Continue 3"/>
    <w:basedOn w:val="List3"/>
    <w:rsid w:val="0081040A"/>
    <w:pPr>
      <w:ind w:left="1021" w:firstLine="0"/>
    </w:pPr>
  </w:style>
  <w:style w:type="paragraph" w:styleId="ListContinue4">
    <w:name w:val="List Continue 4"/>
    <w:basedOn w:val="List4"/>
    <w:rsid w:val="0081040A"/>
    <w:pPr>
      <w:ind w:firstLine="0"/>
    </w:pPr>
  </w:style>
  <w:style w:type="paragraph" w:styleId="ListContinue5">
    <w:name w:val="List Continue 5"/>
    <w:basedOn w:val="List5"/>
    <w:rsid w:val="0081040A"/>
    <w:pPr>
      <w:ind w:firstLine="0"/>
    </w:pPr>
  </w:style>
  <w:style w:type="paragraph" w:styleId="ListNumber3">
    <w:name w:val="List Number 3"/>
    <w:basedOn w:val="List3"/>
    <w:rsid w:val="0081040A"/>
    <w:pPr>
      <w:numPr>
        <w:numId w:val="5"/>
      </w:numPr>
    </w:pPr>
  </w:style>
  <w:style w:type="paragraph" w:styleId="ListNumber4">
    <w:name w:val="List Number 4"/>
    <w:basedOn w:val="List4"/>
    <w:rsid w:val="0081040A"/>
    <w:pPr>
      <w:numPr>
        <w:numId w:val="6"/>
      </w:numPr>
    </w:pPr>
  </w:style>
  <w:style w:type="paragraph" w:styleId="ListNumber5">
    <w:name w:val="List Number 5"/>
    <w:basedOn w:val="List5"/>
    <w:rsid w:val="0081040A"/>
    <w:pPr>
      <w:numPr>
        <w:numId w:val="7"/>
      </w:numPr>
    </w:pPr>
  </w:style>
  <w:style w:type="paragraph" w:styleId="BlockText">
    <w:name w:val="Block Text"/>
    <w:basedOn w:val="Normal"/>
    <w:rsid w:val="008104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4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40A"/>
    <w:rPr>
      <w:sz w:val="16"/>
      <w:vertAlign w:val="superscript"/>
    </w:rPr>
  </w:style>
  <w:style w:type="character" w:customStyle="1" w:styleId="Symbols">
    <w:name w:val="Symbols"/>
    <w:basedOn w:val="DefaultParagraphFont"/>
    <w:rsid w:val="0081040A"/>
    <w:rPr>
      <w:rFonts w:ascii="Symbol" w:hAnsi="Symbol"/>
    </w:rPr>
  </w:style>
  <w:style w:type="character" w:customStyle="1" w:styleId="MenuOptions">
    <w:name w:val="Menu Options"/>
    <w:basedOn w:val="DefaultParagraphFont"/>
    <w:rsid w:val="008104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40A"/>
    <w:rPr>
      <w:b/>
    </w:rPr>
  </w:style>
  <w:style w:type="character" w:customStyle="1" w:styleId="Underlined">
    <w:name w:val="Underlined"/>
    <w:basedOn w:val="DefaultParagraphFont"/>
    <w:rsid w:val="0081040A"/>
    <w:rPr>
      <w:u w:val="single"/>
    </w:rPr>
  </w:style>
  <w:style w:type="paragraph" w:customStyle="1" w:styleId="TableBodyTextRight">
    <w:name w:val="Table Body Text Right"/>
    <w:basedOn w:val="TableBodyText"/>
    <w:rsid w:val="008104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40A"/>
    <w:rPr>
      <w:sz w:val="18"/>
    </w:rPr>
  </w:style>
  <w:style w:type="paragraph" w:customStyle="1" w:styleId="BodySmallRight">
    <w:name w:val="Body Small Right"/>
    <w:basedOn w:val="BodyTextRight"/>
    <w:rsid w:val="0081040A"/>
    <w:rPr>
      <w:sz w:val="18"/>
      <w:szCs w:val="18"/>
    </w:rPr>
  </w:style>
  <w:style w:type="paragraph" w:customStyle="1" w:styleId="MarginEdition">
    <w:name w:val="Margin Edition"/>
    <w:basedOn w:val="MarginNote"/>
    <w:rsid w:val="008104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40A"/>
    <w:rPr>
      <w:sz w:val="2"/>
      <w:szCs w:val="2"/>
    </w:rPr>
  </w:style>
  <w:style w:type="character" w:customStyle="1" w:styleId="Small">
    <w:name w:val="Small"/>
    <w:basedOn w:val="DefaultParagraphFont"/>
    <w:rsid w:val="0081040A"/>
    <w:rPr>
      <w:sz w:val="16"/>
    </w:rPr>
  </w:style>
  <w:style w:type="paragraph" w:customStyle="1" w:styleId="WideTable">
    <w:name w:val="Wide Table"/>
    <w:basedOn w:val="Normal"/>
    <w:rsid w:val="008104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40A"/>
  </w:style>
  <w:style w:type="paragraph" w:styleId="Quote">
    <w:name w:val="Quote"/>
    <w:basedOn w:val="Heading1"/>
    <w:link w:val="QuoteChar"/>
    <w:qFormat/>
    <w:rsid w:val="008104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4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40A"/>
    <w:pPr>
      <w:pageBreakBefore/>
    </w:pPr>
  </w:style>
  <w:style w:type="paragraph" w:customStyle="1" w:styleId="Border">
    <w:name w:val="Border"/>
    <w:basedOn w:val="Normal"/>
    <w:qFormat/>
    <w:rsid w:val="008104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4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4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4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4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4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4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4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4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40A"/>
    <w:rPr>
      <w:u w:val="single"/>
    </w:rPr>
  </w:style>
  <w:style w:type="character" w:customStyle="1" w:styleId="BoldandItalics">
    <w:name w:val="Bold and Italics"/>
    <w:qFormat/>
    <w:rsid w:val="0081040A"/>
    <w:rPr>
      <w:b/>
      <w:i/>
      <w:u w:val="none"/>
    </w:rPr>
  </w:style>
  <w:style w:type="paragraph" w:styleId="BalloonText">
    <w:name w:val="Balloon Text"/>
    <w:basedOn w:val="Normal"/>
    <w:link w:val="BalloonTextChar"/>
    <w:rsid w:val="008104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4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4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4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4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4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40A"/>
    <w:pPr>
      <w:spacing w:before="0" w:after="0"/>
    </w:pPr>
  </w:style>
  <w:style w:type="paragraph" w:customStyle="1" w:styleId="BodyTextBold">
    <w:name w:val="Body Text Bold"/>
    <w:basedOn w:val="BodyText"/>
    <w:qFormat/>
    <w:rsid w:val="0081040A"/>
    <w:rPr>
      <w:b/>
    </w:rPr>
  </w:style>
  <w:style w:type="character" w:styleId="Hyperlink">
    <w:name w:val="Hyperlink"/>
    <w:basedOn w:val="DefaultParagraphFont"/>
    <w:uiPriority w:val="99"/>
    <w:unhideWhenUsed/>
    <w:rsid w:val="00E32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3582</Characters>
  <Application>Microsoft Office Word</Application>
  <DocSecurity>0</DocSecurity>
  <Lines>96</Lines>
  <Paragraphs>72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FNSPRT514 Develop and maintain knowledge of the regulatory environment relevant to trustee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