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131" w:rsidP="00D13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FNSPRT508 Administer a charitable trust</w:t>
      </w:r>
      <w:r>
        <w:fldChar w:fldCharType="end"/>
      </w:r>
    </w:p>
    <w:p w:rsidR="00D13131" w:rsidP="00D13131">
      <w:pPr>
        <w:pStyle w:val="Version"/>
        <w:sectPr w:rsidSect="002D6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6D9" w:rsidP="002D66D9">
      <w:pPr>
        <w:pStyle w:val="SuperHeading"/>
      </w:pPr>
      <w:r w:rsidRPr="002D66D9">
        <w:t>Assessment Requirements for FNSPRT508 Administer a charitable trust</w:t>
      </w:r>
    </w:p>
    <w:p w:rsidR="00000000" w:rsidRPr="002D66D9" w:rsidP="002D66D9">
      <w:pPr>
        <w:pStyle w:val="Heading1"/>
      </w:pPr>
      <w:bookmarkStart w:id="1" w:name="O_751713"/>
      <w:bookmarkEnd w:id="1"/>
      <w:r w:rsidRPr="002D6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D9" w:rsidP="002D66D9">
            <w:pPr>
              <w:pStyle w:val="BodyText"/>
            </w:pPr>
            <w:r w:rsidRPr="002D66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D9">
            <w:pPr>
              <w:pStyle w:val="BodyText"/>
              <w:rPr>
                <w:lang w:val="en-NZ"/>
              </w:rPr>
            </w:pPr>
            <w:r w:rsidRPr="002D66D9">
              <w:rPr>
                <w:rStyle w:val="SpecialBold"/>
              </w:rPr>
              <w:t>Comments</w:t>
            </w:r>
          </w:p>
        </w:tc>
      </w:tr>
      <w:tr w:rsidTr="002D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6D9">
            <w:pPr>
              <w:pStyle w:val="BodyText"/>
              <w:rPr>
                <w:lang w:val="en-NZ"/>
              </w:rPr>
            </w:pPr>
            <w:r w:rsidRPr="002D66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6D9" w:rsidP="002D66D9">
            <w:pPr>
              <w:pStyle w:val="BodyText"/>
            </w:pPr>
            <w:r w:rsidRPr="002D66D9">
              <w:t>This version first released with FNS Financial Services Training Package Version 2.0.</w:t>
            </w:r>
          </w:p>
        </w:tc>
      </w:tr>
    </w:tbl>
    <w:p w:rsidR="00000000" w:rsidRPr="002D66D9" w:rsidP="002D66D9">
      <w:pPr>
        <w:pStyle w:val="BodyText"/>
      </w:pPr>
    </w:p>
    <w:p w:rsidR="00000000" w:rsidRPr="002D66D9" w:rsidP="002D66D9">
      <w:pPr>
        <w:pStyle w:val="AllowPageBreak"/>
      </w:pPr>
    </w:p>
    <w:p w:rsidR="00000000" w:rsidRPr="002D66D9" w:rsidP="002D66D9">
      <w:pPr>
        <w:pStyle w:val="Heading1"/>
      </w:pPr>
      <w:bookmarkStart w:id="2" w:name="O_751714"/>
      <w:bookmarkEnd w:id="2"/>
      <w:r w:rsidRPr="002D66D9">
        <w:t>Performance Evidence</w:t>
      </w:r>
    </w:p>
    <w:p w:rsidR="00000000" w:rsidRPr="002D66D9" w:rsidP="00D13131">
      <w:pPr>
        <w:pStyle w:val="BodyText"/>
      </w:pPr>
      <w:r w:rsidRPr="002D66D9">
        <w:t>Evidence of the ability to:</w:t>
      </w:r>
    </w:p>
    <w:p w:rsidR="00000000" w:rsidRPr="002D66D9" w:rsidP="002D66D9">
      <w:pPr>
        <w:pStyle w:val="ListBullet"/>
      </w:pPr>
      <w:r w:rsidRPr="002D66D9">
        <w:t xml:space="preserve">establish and administer a charitable trust that complies with legislative and organisational requirements </w:t>
      </w:r>
    </w:p>
    <w:p w:rsidR="00000000" w:rsidRPr="002D66D9" w:rsidP="002D66D9">
      <w:pPr>
        <w:pStyle w:val="ListBullet"/>
      </w:pPr>
      <w:r w:rsidRPr="002D66D9">
        <w:t>prepare and interpret complex financial statements</w:t>
      </w:r>
    </w:p>
    <w:p w:rsidR="00000000" w:rsidRPr="002D66D9" w:rsidP="002D66D9">
      <w:pPr>
        <w:pStyle w:val="ListBullet"/>
      </w:pPr>
      <w:r w:rsidRPr="002D66D9">
        <w:t>monitor and assess the appropriateness of the t</w:t>
      </w:r>
      <w:r w:rsidRPr="002D66D9">
        <w:t>rust</w:t>
      </w:r>
      <w:r>
        <w:t>’</w:t>
      </w:r>
      <w:r w:rsidRPr="002D66D9">
        <w:t>s assets in meeting grant requirements</w:t>
      </w:r>
    </w:p>
    <w:p w:rsidR="00000000" w:rsidRPr="002D66D9" w:rsidP="002D66D9">
      <w:pPr>
        <w:pStyle w:val="ListBullet"/>
      </w:pPr>
      <w:r w:rsidRPr="002D66D9">
        <w:t>create an annual information statement (AIS) for the Australian Charities and Not-for-profits Commission (ACNC).</w:t>
      </w:r>
    </w:p>
    <w:p w:rsidR="00000000" w:rsidRPr="002D66D9" w:rsidP="002D66D9">
      <w:pPr>
        <w:pStyle w:val="BodyText"/>
      </w:pPr>
    </w:p>
    <w:p w:rsidR="00000000" w:rsidRPr="002D66D9" w:rsidP="00D13131">
      <w:pPr>
        <w:pStyle w:val="BodyText"/>
      </w:pPr>
      <w:r w:rsidRPr="002D66D9">
        <w:t>Note: If a specific volume or frequency is not stated, then evidence must be provided at least once.</w:t>
      </w:r>
    </w:p>
    <w:p w:rsidR="00000000" w:rsidRPr="002D66D9" w:rsidP="002D66D9">
      <w:pPr>
        <w:pStyle w:val="Heading1"/>
      </w:pPr>
      <w:bookmarkStart w:id="3" w:name="O_751715"/>
      <w:bookmarkEnd w:id="3"/>
      <w:r w:rsidRPr="002D66D9">
        <w:t>Knowledge Evidence</w:t>
      </w:r>
    </w:p>
    <w:p w:rsidR="00000000" w:rsidRPr="002D66D9" w:rsidP="00D13131">
      <w:pPr>
        <w:pStyle w:val="BodyText"/>
      </w:pPr>
      <w:r w:rsidRPr="002D66D9">
        <w:t>To complete the unit requirements safely and effectively, the individual must:</w:t>
      </w:r>
    </w:p>
    <w:p w:rsidR="00000000" w:rsidRPr="002D66D9" w:rsidP="002D66D9">
      <w:pPr>
        <w:pStyle w:val="ListBullet"/>
      </w:pPr>
      <w:r w:rsidRPr="002D66D9">
        <w:t>describe the key requirements of legisl</w:t>
      </w:r>
      <w:r w:rsidRPr="002D66D9">
        <w:t>ation and regulators that govern charitable trusts including:</w:t>
      </w:r>
    </w:p>
    <w:p w:rsidR="00000000" w:rsidRPr="002D66D9" w:rsidP="002D66D9">
      <w:pPr>
        <w:pStyle w:val="ListBullet2"/>
      </w:pPr>
      <w:r w:rsidRPr="002D66D9">
        <w:t xml:space="preserve">definition of charity under the Charities Act </w:t>
      </w:r>
    </w:p>
    <w:p w:rsidR="00000000" w:rsidRPr="002D66D9" w:rsidP="002D66D9">
      <w:pPr>
        <w:pStyle w:val="ListBullet2"/>
      </w:pPr>
      <w:r w:rsidRPr="002D66D9">
        <w:t xml:space="preserve">Australian Charities and Not-for-profits Commission Act </w:t>
      </w:r>
    </w:p>
    <w:p w:rsidR="00000000" w:rsidRPr="002D66D9" w:rsidP="002D66D9">
      <w:pPr>
        <w:pStyle w:val="ListBullet2"/>
      </w:pPr>
      <w:r w:rsidRPr="002D66D9">
        <w:t xml:space="preserve">Charities Act </w:t>
      </w:r>
    </w:p>
    <w:p w:rsidR="00000000" w:rsidRPr="002D66D9" w:rsidP="002D66D9">
      <w:pPr>
        <w:pStyle w:val="ListBullet2"/>
      </w:pPr>
      <w:r w:rsidRPr="002D66D9">
        <w:t xml:space="preserve">Tax Administration Act </w:t>
      </w:r>
    </w:p>
    <w:p w:rsidR="00000000" w:rsidRPr="002D66D9" w:rsidP="002D66D9">
      <w:pPr>
        <w:pStyle w:val="ListBullet2"/>
      </w:pPr>
      <w:r w:rsidRPr="002D66D9">
        <w:t xml:space="preserve">Income Tax Assessment Act </w:t>
      </w:r>
    </w:p>
    <w:p w:rsidR="00000000" w:rsidRPr="002D66D9" w:rsidP="002D66D9">
      <w:pPr>
        <w:pStyle w:val="ListBullet"/>
      </w:pPr>
      <w:r w:rsidRPr="002D66D9">
        <w:t>describe the regulator</w:t>
      </w:r>
      <w:r w:rsidRPr="002D66D9">
        <w:t>s that govern charitable trusts including:</w:t>
      </w:r>
    </w:p>
    <w:p w:rsidR="00000000" w:rsidRPr="002D66D9" w:rsidP="002D66D9">
      <w:pPr>
        <w:pStyle w:val="ListBullet2"/>
      </w:pPr>
      <w:r w:rsidRPr="002D66D9">
        <w:t>Australian Taxation Office</w:t>
      </w:r>
    </w:p>
    <w:p w:rsidR="00000000" w:rsidRPr="002D66D9" w:rsidP="002D66D9">
      <w:pPr>
        <w:pStyle w:val="ListBullet2"/>
      </w:pPr>
      <w:r w:rsidRPr="002D66D9">
        <w:t>state and territory Attorneys-General</w:t>
      </w:r>
    </w:p>
    <w:p w:rsidR="00000000" w:rsidRPr="002D66D9" w:rsidP="002D66D9">
      <w:pPr>
        <w:pStyle w:val="ListBullet"/>
      </w:pPr>
      <w:r w:rsidRPr="002D66D9">
        <w:t>describe own role, responsibilities and limitations in relation to providing financial advice</w:t>
      </w:r>
    </w:p>
    <w:p w:rsidR="00000000" w:rsidRPr="002D66D9" w:rsidP="002D66D9">
      <w:pPr>
        <w:pStyle w:val="ListBullet"/>
      </w:pPr>
      <w:r w:rsidRPr="002D66D9">
        <w:t>outli</w:t>
      </w:r>
      <w:r w:rsidRPr="002D66D9">
        <w:t>ne the general features and key regulatory requirements of:</w:t>
      </w:r>
    </w:p>
    <w:p w:rsidR="00000000" w:rsidRPr="002D66D9" w:rsidP="002D66D9">
      <w:pPr>
        <w:pStyle w:val="ListBullet2"/>
      </w:pPr>
      <w:r w:rsidRPr="002D66D9">
        <w:t>charitable funds and charitable institutions</w:t>
      </w:r>
    </w:p>
    <w:p w:rsidR="00000000" w:rsidRPr="002D66D9" w:rsidP="002D66D9">
      <w:pPr>
        <w:pStyle w:val="ListBullet2"/>
      </w:pPr>
      <w:r w:rsidRPr="002D66D9">
        <w:t>deductable gift recipients (DGRs)</w:t>
      </w:r>
    </w:p>
    <w:p w:rsidR="00000000" w:rsidRPr="002D66D9" w:rsidP="002D66D9">
      <w:pPr>
        <w:pStyle w:val="ListBullet2"/>
      </w:pPr>
      <w:r w:rsidRPr="002D66D9">
        <w:t>charitable will trusts and inter vivos trusts</w:t>
      </w:r>
    </w:p>
    <w:p w:rsidR="00000000" w:rsidRPr="002D66D9" w:rsidP="002D66D9">
      <w:pPr>
        <w:pStyle w:val="ListBullet2"/>
      </w:pPr>
      <w:r w:rsidRPr="002D66D9">
        <w:t>private ancillary funds</w:t>
      </w:r>
    </w:p>
    <w:p w:rsidR="00000000" w:rsidRPr="002D66D9" w:rsidP="002D66D9">
      <w:pPr>
        <w:pStyle w:val="ListBullet2"/>
      </w:pPr>
      <w:r w:rsidRPr="002D66D9">
        <w:t>public ancillary funds</w:t>
      </w:r>
    </w:p>
    <w:p w:rsidR="00000000" w:rsidRPr="002D66D9" w:rsidP="002D66D9">
      <w:pPr>
        <w:pStyle w:val="ListBullet2"/>
      </w:pPr>
      <w:r w:rsidRPr="002D66D9">
        <w:t>charitable tax status</w:t>
      </w:r>
    </w:p>
    <w:p w:rsidR="00000000" w:rsidRPr="002D66D9" w:rsidP="002D66D9">
      <w:pPr>
        <w:pStyle w:val="ListBullet2"/>
      </w:pPr>
      <w:r w:rsidRPr="002D66D9">
        <w:t>g</w:t>
      </w:r>
      <w:r w:rsidRPr="002D66D9">
        <w:t>rant making programs</w:t>
      </w:r>
    </w:p>
    <w:p w:rsidR="00000000" w:rsidRPr="002D66D9" w:rsidP="002D66D9">
      <w:pPr>
        <w:pStyle w:val="ListBullet2"/>
      </w:pPr>
      <w:r w:rsidRPr="002D66D9">
        <w:t>cy pres applications</w:t>
      </w:r>
    </w:p>
    <w:p w:rsidR="00000000" w:rsidRPr="002D66D9" w:rsidP="002D66D9">
      <w:pPr>
        <w:pStyle w:val="ListBullet"/>
      </w:pPr>
      <w:r w:rsidRPr="002D66D9">
        <w:t>describe organisational policies and procedures regarding the establishment, administration and review of charitable trusts including the grant consideration</w:t>
      </w:r>
    </w:p>
    <w:p w:rsidR="00000000" w:rsidRPr="002D66D9" w:rsidP="002D66D9">
      <w:pPr>
        <w:pStyle w:val="ListBullet"/>
      </w:pPr>
      <w:r w:rsidRPr="002D66D9">
        <w:t>outline the professional code of conduct, where applica</w:t>
      </w:r>
      <w:r w:rsidRPr="002D66D9">
        <w:t xml:space="preserve">ble, in the personal trustee sector </w:t>
      </w:r>
    </w:p>
    <w:p w:rsidR="00000000" w:rsidRPr="002D66D9" w:rsidP="002D66D9">
      <w:pPr>
        <w:pStyle w:val="ListBullet"/>
      </w:pPr>
      <w:r w:rsidRPr="002D66D9">
        <w:t>identify the role of, and how and when to contact, internal or external specialists relating to the personal trustee sector</w:t>
      </w:r>
    </w:p>
    <w:p w:rsidR="00000000" w:rsidRPr="002D66D9" w:rsidP="002D66D9">
      <w:pPr>
        <w:pStyle w:val="ListBullet"/>
      </w:pPr>
      <w:r w:rsidRPr="002D66D9">
        <w:t>outline the products and services offered by personal trustee organisations and the fees and ch</w:t>
      </w:r>
      <w:r w:rsidRPr="002D66D9">
        <w:t>arges that apply</w:t>
      </w:r>
    </w:p>
    <w:p w:rsidR="00000000" w:rsidRPr="002D66D9" w:rsidP="002D66D9">
      <w:pPr>
        <w:pStyle w:val="ListBullet"/>
      </w:pPr>
      <w:r w:rsidRPr="002D66D9">
        <w:t>discuss the liabilities and penalties for non-compliance by trustees.</w:t>
      </w:r>
    </w:p>
    <w:p w:rsidR="00000000" w:rsidRPr="002D66D9" w:rsidP="002D66D9">
      <w:pPr>
        <w:pStyle w:val="AllowPageBreak"/>
      </w:pPr>
    </w:p>
    <w:p w:rsidR="00000000" w:rsidRPr="002D66D9" w:rsidP="002D66D9">
      <w:pPr>
        <w:pStyle w:val="Heading1"/>
      </w:pPr>
      <w:bookmarkStart w:id="4" w:name="O_751716"/>
      <w:bookmarkEnd w:id="4"/>
      <w:r w:rsidRPr="002D66D9">
        <w:t>Assessment Conditions</w:t>
      </w:r>
    </w:p>
    <w:p w:rsidR="00000000" w:rsidRPr="002D66D9" w:rsidP="00D13131">
      <w:pPr>
        <w:pStyle w:val="BodyText"/>
      </w:pPr>
      <w:r w:rsidRPr="002D66D9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2D66D9" w:rsidP="002D66D9">
      <w:pPr>
        <w:pStyle w:val="ListBullet"/>
      </w:pPr>
      <w:r w:rsidRPr="002D66D9">
        <w:t>common office equipment, technology, software and</w:t>
      </w:r>
      <w:r w:rsidRPr="002D66D9">
        <w:t xml:space="preserve"> consumables</w:t>
      </w:r>
    </w:p>
    <w:p w:rsidR="00000000" w:rsidRPr="002D66D9" w:rsidP="002D66D9">
      <w:pPr>
        <w:pStyle w:val="ListBullet"/>
      </w:pPr>
      <w:r w:rsidRPr="002D66D9">
        <w:t>appropriate legislation and regulations relevant to establishing and administering a charitable trust</w:t>
      </w:r>
    </w:p>
    <w:p w:rsidR="00000000" w:rsidRPr="002D66D9" w:rsidP="002D66D9">
      <w:pPr>
        <w:pStyle w:val="ListBullet"/>
      </w:pPr>
      <w:r w:rsidRPr="002D66D9">
        <w:t>organisational reference materials such as policies, procedures, manuals and checklists.</w:t>
      </w:r>
    </w:p>
    <w:p w:rsidR="00000000" w:rsidRPr="002D66D9" w:rsidP="002D66D9">
      <w:pPr>
        <w:pStyle w:val="BodyText"/>
      </w:pPr>
    </w:p>
    <w:p w:rsidR="00000000" w:rsidRPr="002D66D9" w:rsidP="00D13131">
      <w:pPr>
        <w:pStyle w:val="BodyText"/>
      </w:pPr>
      <w:r w:rsidRPr="002D66D9">
        <w:t>Assessors of this unit must satisfy the requirement</w:t>
      </w:r>
      <w:r w:rsidRPr="002D66D9">
        <w:t>s for assessors in applicable vocational education and training legislation, frameworks and/or standards.</w:t>
      </w:r>
    </w:p>
    <w:p w:rsidR="00000000" w:rsidRPr="002D66D9" w:rsidP="002D66D9">
      <w:pPr>
        <w:pStyle w:val="Heading1"/>
      </w:pPr>
      <w:bookmarkStart w:id="5" w:name="O_751719"/>
      <w:bookmarkEnd w:id="5"/>
      <w:r w:rsidRPr="002D66D9">
        <w:t>Links</w:t>
      </w:r>
    </w:p>
    <w:p w:rsidR="00000000" w:rsidRPr="002D66D9" w:rsidP="00D13131">
      <w:pPr>
        <w:pStyle w:val="BodyText"/>
      </w:pPr>
      <w:r w:rsidRPr="002D6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558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66D9" w:rsidP="002D66D9"/>
    <w:sectPr w:rsidSect="002D6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D9" w:rsidRPr="00D13131" w:rsidP="00D13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31" w:rsidP="002D6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131" w:rsidP="002D6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3131" w:rsidP="002D6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6D9" w:rsidRPr="00D13131" w:rsidP="00D13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31" w:rsidRPr="002D2AF8" w:rsidP="002D6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FNSPRT508 Administer a charitable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13131" w:rsidP="002D6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48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07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0A8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6D9"/>
  </w:style>
  <w:style w:type="character" w:customStyle="1" w:styleId="Heading1Char">
    <w:name w:val="Heading 1 Char"/>
    <w:basedOn w:val="DefaultParagraphFont"/>
    <w:link w:val="Heading1"/>
    <w:rsid w:val="002D6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6D9"/>
    <w:rPr>
      <w:b/>
      <w:spacing w:val="0"/>
    </w:rPr>
  </w:style>
  <w:style w:type="paragraph" w:styleId="ListBullet2">
    <w:name w:val="List Bullet 2"/>
    <w:basedOn w:val="List2"/>
    <w:rsid w:val="002D6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6D9"/>
    <w:rPr>
      <w:i/>
    </w:rPr>
  </w:style>
  <w:style w:type="paragraph" w:styleId="Caption">
    <w:name w:val="caption"/>
    <w:basedOn w:val="BodyText"/>
    <w:next w:val="Normal"/>
    <w:qFormat/>
    <w:rsid w:val="002D6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6D9"/>
  </w:style>
  <w:style w:type="paragraph" w:styleId="TableofFigures">
    <w:name w:val="table of figures"/>
    <w:basedOn w:val="Normal"/>
    <w:next w:val="Normal"/>
    <w:semiHidden/>
    <w:rsid w:val="002D6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6D9"/>
    <w:rPr>
      <w:rFonts w:ascii="Wingdings" w:hAnsi="Wingdings"/>
    </w:rPr>
  </w:style>
  <w:style w:type="paragraph" w:customStyle="1" w:styleId="TableHeading">
    <w:name w:val="Table Heading"/>
    <w:basedOn w:val="HeadingBase"/>
    <w:rsid w:val="002D6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6D9"/>
    <w:rPr>
      <w:color w:val="0033CC"/>
      <w:u w:val="none"/>
    </w:rPr>
  </w:style>
  <w:style w:type="paragraph" w:customStyle="1" w:styleId="BodyTextRight">
    <w:name w:val="Body Text Right"/>
    <w:basedOn w:val="BodyText"/>
    <w:rsid w:val="002D6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6D9"/>
    <w:rPr>
      <w:sz w:val="32"/>
    </w:rPr>
  </w:style>
  <w:style w:type="paragraph" w:customStyle="1" w:styleId="HeadingProcedure">
    <w:name w:val="Heading Procedure"/>
    <w:basedOn w:val="HeadingBase"/>
    <w:next w:val="Normal"/>
    <w:rsid w:val="002D6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6D9"/>
    <w:pPr>
      <w:spacing w:before="60" w:after="60"/>
    </w:pPr>
  </w:style>
  <w:style w:type="paragraph" w:styleId="ListContinue">
    <w:name w:val="List Continue"/>
    <w:basedOn w:val="List"/>
    <w:rsid w:val="002D66D9"/>
    <w:pPr>
      <w:ind w:firstLine="0"/>
    </w:pPr>
  </w:style>
  <w:style w:type="paragraph" w:customStyle="1" w:styleId="ListNote">
    <w:name w:val="List Note"/>
    <w:basedOn w:val="List"/>
    <w:rsid w:val="002D6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6D9"/>
    <w:rPr>
      <w:rFonts w:ascii="Courier New" w:hAnsi="Courier New"/>
    </w:rPr>
  </w:style>
  <w:style w:type="paragraph" w:customStyle="1" w:styleId="NoteBullet">
    <w:name w:val="Note Bullet"/>
    <w:basedOn w:val="Note"/>
    <w:rsid w:val="002D6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6D9"/>
    <w:rPr>
      <w:b/>
      <w:smallCaps/>
    </w:rPr>
  </w:style>
  <w:style w:type="paragraph" w:customStyle="1" w:styleId="TableListNumber">
    <w:name w:val="Table List Number"/>
    <w:basedOn w:val="ListNumber"/>
    <w:rsid w:val="002D6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6D9"/>
    <w:pPr>
      <w:numPr>
        <w:numId w:val="9"/>
      </w:numPr>
    </w:pPr>
  </w:style>
  <w:style w:type="paragraph" w:customStyle="1" w:styleId="ListAlpha2">
    <w:name w:val="List Alpha 2"/>
    <w:basedOn w:val="List2"/>
    <w:rsid w:val="002D66D9"/>
    <w:pPr>
      <w:numPr>
        <w:numId w:val="8"/>
      </w:numPr>
    </w:pPr>
  </w:style>
  <w:style w:type="paragraph" w:styleId="List2">
    <w:name w:val="List 2"/>
    <w:basedOn w:val="BodyText"/>
    <w:rsid w:val="002D6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6D9"/>
    <w:pPr>
      <w:numPr>
        <w:numId w:val="4"/>
      </w:numPr>
    </w:pPr>
  </w:style>
  <w:style w:type="paragraph" w:styleId="ListContinue2">
    <w:name w:val="List Continue 2"/>
    <w:basedOn w:val="List2"/>
    <w:rsid w:val="002D66D9"/>
    <w:pPr>
      <w:ind w:firstLine="0"/>
    </w:pPr>
  </w:style>
  <w:style w:type="paragraph" w:styleId="ListContinue3">
    <w:name w:val="List Continue 3"/>
    <w:basedOn w:val="List3"/>
    <w:rsid w:val="002D66D9"/>
    <w:pPr>
      <w:ind w:left="1021" w:firstLine="0"/>
    </w:pPr>
  </w:style>
  <w:style w:type="paragraph" w:styleId="ListContinue4">
    <w:name w:val="List Continue 4"/>
    <w:basedOn w:val="List4"/>
    <w:rsid w:val="002D66D9"/>
    <w:pPr>
      <w:ind w:firstLine="0"/>
    </w:pPr>
  </w:style>
  <w:style w:type="paragraph" w:styleId="ListContinue5">
    <w:name w:val="List Continue 5"/>
    <w:basedOn w:val="List5"/>
    <w:rsid w:val="002D66D9"/>
    <w:pPr>
      <w:ind w:firstLine="0"/>
    </w:pPr>
  </w:style>
  <w:style w:type="paragraph" w:styleId="ListNumber3">
    <w:name w:val="List Number 3"/>
    <w:basedOn w:val="List3"/>
    <w:rsid w:val="002D66D9"/>
    <w:pPr>
      <w:numPr>
        <w:numId w:val="5"/>
      </w:numPr>
    </w:pPr>
  </w:style>
  <w:style w:type="paragraph" w:styleId="ListNumber4">
    <w:name w:val="List Number 4"/>
    <w:basedOn w:val="List4"/>
    <w:rsid w:val="002D66D9"/>
    <w:pPr>
      <w:numPr>
        <w:numId w:val="6"/>
      </w:numPr>
    </w:pPr>
  </w:style>
  <w:style w:type="paragraph" w:styleId="ListNumber5">
    <w:name w:val="List Number 5"/>
    <w:basedOn w:val="List5"/>
    <w:rsid w:val="002D66D9"/>
    <w:pPr>
      <w:numPr>
        <w:numId w:val="7"/>
      </w:numPr>
    </w:pPr>
  </w:style>
  <w:style w:type="paragraph" w:styleId="BlockText">
    <w:name w:val="Block Text"/>
    <w:basedOn w:val="Normal"/>
    <w:rsid w:val="002D6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6D9"/>
    <w:rPr>
      <w:sz w:val="16"/>
      <w:vertAlign w:val="superscript"/>
    </w:rPr>
  </w:style>
  <w:style w:type="character" w:customStyle="1" w:styleId="Symbols">
    <w:name w:val="Symbols"/>
    <w:basedOn w:val="DefaultParagraphFont"/>
    <w:rsid w:val="002D66D9"/>
    <w:rPr>
      <w:rFonts w:ascii="Symbol" w:hAnsi="Symbol"/>
    </w:rPr>
  </w:style>
  <w:style w:type="character" w:customStyle="1" w:styleId="MenuOptions">
    <w:name w:val="Menu Options"/>
    <w:basedOn w:val="DefaultParagraphFont"/>
    <w:rsid w:val="002D6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6D9"/>
    <w:rPr>
      <w:b/>
    </w:rPr>
  </w:style>
  <w:style w:type="character" w:customStyle="1" w:styleId="Underlined">
    <w:name w:val="Underlined"/>
    <w:basedOn w:val="DefaultParagraphFont"/>
    <w:rsid w:val="002D66D9"/>
    <w:rPr>
      <w:u w:val="single"/>
    </w:rPr>
  </w:style>
  <w:style w:type="paragraph" w:customStyle="1" w:styleId="TableBodyTextRight">
    <w:name w:val="Table Body Text Right"/>
    <w:basedOn w:val="TableBodyText"/>
    <w:rsid w:val="002D6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6D9"/>
    <w:rPr>
      <w:sz w:val="18"/>
    </w:rPr>
  </w:style>
  <w:style w:type="paragraph" w:customStyle="1" w:styleId="BodySmallRight">
    <w:name w:val="Body Small Right"/>
    <w:basedOn w:val="BodyTextRight"/>
    <w:rsid w:val="002D66D9"/>
    <w:rPr>
      <w:sz w:val="18"/>
      <w:szCs w:val="18"/>
    </w:rPr>
  </w:style>
  <w:style w:type="paragraph" w:customStyle="1" w:styleId="MarginEdition">
    <w:name w:val="Margin Edition"/>
    <w:basedOn w:val="MarginNote"/>
    <w:rsid w:val="002D6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6D9"/>
    <w:rPr>
      <w:sz w:val="2"/>
      <w:szCs w:val="2"/>
    </w:rPr>
  </w:style>
  <w:style w:type="character" w:customStyle="1" w:styleId="Small">
    <w:name w:val="Small"/>
    <w:basedOn w:val="DefaultParagraphFont"/>
    <w:rsid w:val="002D66D9"/>
    <w:rPr>
      <w:sz w:val="16"/>
    </w:rPr>
  </w:style>
  <w:style w:type="paragraph" w:customStyle="1" w:styleId="WideTable">
    <w:name w:val="Wide Table"/>
    <w:basedOn w:val="Normal"/>
    <w:rsid w:val="002D6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6D9"/>
  </w:style>
  <w:style w:type="paragraph" w:styleId="Quote">
    <w:name w:val="Quote"/>
    <w:basedOn w:val="Heading1"/>
    <w:link w:val="QuoteChar"/>
    <w:qFormat/>
    <w:rsid w:val="002D6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6D9"/>
    <w:pPr>
      <w:pageBreakBefore/>
    </w:pPr>
  </w:style>
  <w:style w:type="paragraph" w:customStyle="1" w:styleId="Border">
    <w:name w:val="Border"/>
    <w:basedOn w:val="Normal"/>
    <w:qFormat/>
    <w:rsid w:val="002D6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6D9"/>
    <w:rPr>
      <w:u w:val="single"/>
    </w:rPr>
  </w:style>
  <w:style w:type="character" w:customStyle="1" w:styleId="BoldandItalics">
    <w:name w:val="Bold and Italics"/>
    <w:qFormat/>
    <w:rsid w:val="002D66D9"/>
    <w:rPr>
      <w:b/>
      <w:i/>
      <w:u w:val="none"/>
    </w:rPr>
  </w:style>
  <w:style w:type="paragraph" w:styleId="BalloonText">
    <w:name w:val="Balloon Text"/>
    <w:basedOn w:val="Normal"/>
    <w:link w:val="BalloonTextChar"/>
    <w:rsid w:val="002D6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6D9"/>
    <w:pPr>
      <w:spacing w:before="0" w:after="0"/>
    </w:pPr>
  </w:style>
  <w:style w:type="paragraph" w:customStyle="1" w:styleId="BodyTextBold">
    <w:name w:val="Body Text Bold"/>
    <w:basedOn w:val="BodyText"/>
    <w:qFormat/>
    <w:rsid w:val="002D66D9"/>
    <w:rPr>
      <w:b/>
    </w:rPr>
  </w:style>
  <w:style w:type="character" w:styleId="Hyperlink">
    <w:name w:val="Hyperlink"/>
    <w:basedOn w:val="DefaultParagraphFont"/>
    <w:uiPriority w:val="99"/>
    <w:unhideWhenUsed/>
    <w:rsid w:val="00D13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2804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FNSPRT508 Administer a charitable trust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