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178" w:rsidP="001771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FNSPRT506 Develop understanding of traditional trustee services</w:t>
      </w:r>
      <w:r>
        <w:fldChar w:fldCharType="end"/>
      </w:r>
    </w:p>
    <w:p w:rsidR="00177178" w:rsidP="00177178">
      <w:pPr>
        <w:pStyle w:val="Version"/>
        <w:sectPr w:rsidSect="00827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6D0" w:rsidP="008276D0">
      <w:pPr>
        <w:pStyle w:val="SuperHeading"/>
      </w:pPr>
      <w:r w:rsidRPr="008276D0">
        <w:t>Assessment Requirements for FNSPRT506 Develop understanding of traditional trustee services</w:t>
      </w:r>
    </w:p>
    <w:p w:rsidR="00000000" w:rsidRPr="008276D0" w:rsidP="008276D0">
      <w:pPr>
        <w:pStyle w:val="Heading1"/>
      </w:pPr>
      <w:bookmarkStart w:id="1" w:name="O_751675"/>
      <w:bookmarkEnd w:id="1"/>
      <w:r w:rsidRPr="008276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27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6D0" w:rsidP="008276D0">
            <w:pPr>
              <w:pStyle w:val="BodyText"/>
            </w:pPr>
            <w:r w:rsidRPr="008276D0">
              <w:rPr>
                <w:rStyle w:val="SpecialBold"/>
              </w:rPr>
              <w:t xml:space="preserve">Release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6D0">
            <w:pPr>
              <w:pStyle w:val="BodyText"/>
              <w:rPr>
                <w:lang w:val="en-NZ"/>
              </w:rPr>
            </w:pPr>
            <w:r w:rsidRPr="008276D0">
              <w:rPr>
                <w:rStyle w:val="SpecialBold"/>
              </w:rPr>
              <w:t>Comments</w:t>
            </w:r>
          </w:p>
        </w:tc>
      </w:tr>
      <w:tr w:rsidTr="00827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6D0">
            <w:pPr>
              <w:pStyle w:val="BodyText"/>
              <w:rPr>
                <w:lang w:val="en-NZ"/>
              </w:rPr>
            </w:pPr>
            <w:r w:rsidRPr="008276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6D0" w:rsidP="008276D0">
            <w:pPr>
              <w:pStyle w:val="BodyText"/>
            </w:pPr>
            <w:r w:rsidRPr="008276D0">
              <w:t>This version first released with FNS Financial Services Training Package Version 2.0.</w:t>
            </w:r>
          </w:p>
        </w:tc>
      </w:tr>
    </w:tbl>
    <w:p w:rsidR="00000000" w:rsidRPr="008276D0" w:rsidP="008276D0">
      <w:pPr>
        <w:pStyle w:val="BodyText"/>
      </w:pPr>
    </w:p>
    <w:p w:rsidR="00000000" w:rsidRPr="008276D0" w:rsidP="008276D0">
      <w:pPr>
        <w:pStyle w:val="AllowPageBreak"/>
      </w:pPr>
    </w:p>
    <w:p w:rsidR="00000000" w:rsidRPr="008276D0" w:rsidP="008276D0">
      <w:pPr>
        <w:pStyle w:val="Heading1"/>
      </w:pPr>
      <w:bookmarkStart w:id="2" w:name="O_751676"/>
      <w:bookmarkEnd w:id="2"/>
      <w:r w:rsidRPr="008276D0">
        <w:t>Performance Evidence</w:t>
      </w:r>
    </w:p>
    <w:p w:rsidR="00000000" w:rsidRPr="008276D0" w:rsidP="00177178">
      <w:pPr>
        <w:pStyle w:val="BodyText"/>
      </w:pPr>
      <w:r w:rsidRPr="008276D0">
        <w:t>Evidence of the ability to:</w:t>
      </w:r>
    </w:p>
    <w:p w:rsidR="00000000" w:rsidRPr="008276D0" w:rsidP="008276D0">
      <w:pPr>
        <w:pStyle w:val="ListBullet"/>
      </w:pPr>
      <w:r w:rsidRPr="008276D0">
        <w:t xml:space="preserve">explain the regulatory and key principle requirements of providing traditional trustee services </w:t>
      </w:r>
    </w:p>
    <w:p w:rsidR="00000000" w:rsidRPr="008276D0" w:rsidP="008276D0">
      <w:pPr>
        <w:pStyle w:val="ListBullet"/>
      </w:pPr>
      <w:r w:rsidRPr="008276D0">
        <w:t xml:space="preserve">explain the range of traditional trustee services to a client in a suitable manner </w:t>
      </w:r>
    </w:p>
    <w:p w:rsidR="00000000" w:rsidRPr="008276D0" w:rsidP="008276D0">
      <w:pPr>
        <w:pStyle w:val="ListBullet"/>
      </w:pPr>
      <w:r w:rsidRPr="008276D0">
        <w:t>maintain knowledg</w:t>
      </w:r>
      <w:r w:rsidRPr="008276D0">
        <w:t>e and application of the ongoing obligations of providing traditional trustee services.</w:t>
      </w:r>
    </w:p>
    <w:p w:rsidR="00000000" w:rsidRPr="008276D0" w:rsidP="008276D0">
      <w:pPr>
        <w:pStyle w:val="BodyText"/>
      </w:pPr>
    </w:p>
    <w:p w:rsidR="00000000" w:rsidRPr="008276D0" w:rsidP="00177178">
      <w:pPr>
        <w:pStyle w:val="BodyText"/>
      </w:pPr>
      <w:r w:rsidRPr="008276D0">
        <w:t>Note: If a specific volume or frequency is not stated, then evidence must be provided at least once.</w:t>
      </w:r>
    </w:p>
    <w:p w:rsidR="00000000" w:rsidRPr="008276D0" w:rsidP="008276D0">
      <w:pPr>
        <w:pStyle w:val="Heading1"/>
      </w:pPr>
      <w:bookmarkStart w:id="3" w:name="O_751677"/>
      <w:bookmarkEnd w:id="3"/>
      <w:r w:rsidRPr="008276D0">
        <w:t>Knowledge Evidence</w:t>
      </w:r>
    </w:p>
    <w:p w:rsidR="00000000" w:rsidRPr="008276D0" w:rsidP="00177178">
      <w:pPr>
        <w:pStyle w:val="BodyText"/>
      </w:pPr>
      <w:r w:rsidRPr="008276D0">
        <w:t>To complete the unit requirements safely and effectively, the individual must:</w:t>
      </w:r>
    </w:p>
    <w:p w:rsidR="00000000" w:rsidRPr="008276D0" w:rsidP="008276D0">
      <w:pPr>
        <w:pStyle w:val="ListBullet"/>
      </w:pPr>
      <w:r w:rsidRPr="008276D0">
        <w:t>explain elements of the key regulatory requirements of traditional trustee services a trustee organisation provides including:</w:t>
      </w:r>
    </w:p>
    <w:p w:rsidR="00000000" w:rsidRPr="008276D0" w:rsidP="008276D0">
      <w:pPr>
        <w:pStyle w:val="ListBullet2"/>
      </w:pPr>
      <w:r w:rsidRPr="008276D0">
        <w:t>trustee acts for each state and territory</w:t>
      </w:r>
    </w:p>
    <w:p w:rsidR="00000000" w:rsidRPr="008276D0" w:rsidP="008276D0">
      <w:pPr>
        <w:pStyle w:val="ListBullet2"/>
      </w:pPr>
      <w:r w:rsidRPr="008276D0">
        <w:t>licens</w:t>
      </w:r>
      <w:r w:rsidRPr="008276D0">
        <w:t>ing regime that authorises the provision of advice</w:t>
      </w:r>
    </w:p>
    <w:p w:rsidR="00000000" w:rsidRPr="008276D0" w:rsidP="008276D0">
      <w:pPr>
        <w:pStyle w:val="ListBullet2"/>
      </w:pPr>
      <w:r w:rsidRPr="008276D0">
        <w:t>prudent person principle such as diversification, investment risks including losing capital or income, capital maintenance, capital depreciation, capital appreciation, estimated income return, liquidity an</w:t>
      </w:r>
      <w:r w:rsidRPr="008276D0">
        <w:t>d marketability of the proposed investment and aggregate value of estate in trust</w:t>
      </w:r>
    </w:p>
    <w:p w:rsidR="00000000" w:rsidRPr="008276D0" w:rsidP="008276D0">
      <w:pPr>
        <w:pStyle w:val="ListBullet"/>
      </w:pPr>
      <w:r w:rsidRPr="008276D0">
        <w:t>describe client circumstances relevant to determining investment outcomes including:</w:t>
      </w:r>
    </w:p>
    <w:p w:rsidR="00000000" w:rsidRPr="008276D0" w:rsidP="008276D0">
      <w:pPr>
        <w:pStyle w:val="ListBullet2"/>
      </w:pPr>
      <w:r w:rsidRPr="008276D0">
        <w:t>required rate of return</w:t>
      </w:r>
    </w:p>
    <w:p w:rsidR="00000000" w:rsidRPr="008276D0" w:rsidP="008276D0">
      <w:pPr>
        <w:pStyle w:val="ListBullet2"/>
      </w:pPr>
      <w:r w:rsidRPr="008276D0">
        <w:t>stability of income</w:t>
      </w:r>
    </w:p>
    <w:p w:rsidR="00000000" w:rsidRPr="008276D0" w:rsidP="008276D0">
      <w:pPr>
        <w:pStyle w:val="ListBullet2"/>
      </w:pPr>
      <w:r w:rsidRPr="008276D0">
        <w:t>mental capacity</w:t>
      </w:r>
    </w:p>
    <w:p w:rsidR="00000000" w:rsidRPr="008276D0" w:rsidP="008276D0">
      <w:pPr>
        <w:pStyle w:val="ListBullet2"/>
      </w:pPr>
      <w:r w:rsidRPr="008276D0">
        <w:t>phase of life</w:t>
      </w:r>
    </w:p>
    <w:p w:rsidR="00000000" w:rsidRPr="008276D0" w:rsidP="008276D0">
      <w:pPr>
        <w:pStyle w:val="ListBullet2"/>
      </w:pPr>
      <w:r w:rsidRPr="008276D0">
        <w:t>concerns of c</w:t>
      </w:r>
      <w:r w:rsidRPr="008276D0">
        <w:t>apital protection</w:t>
      </w:r>
    </w:p>
    <w:p w:rsidR="00000000" w:rsidRPr="008276D0" w:rsidP="008276D0">
      <w:pPr>
        <w:pStyle w:val="ListBullet"/>
      </w:pPr>
      <w:r w:rsidRPr="008276D0">
        <w:t>describe traditional trustee services including:</w:t>
      </w:r>
    </w:p>
    <w:p w:rsidR="00000000" w:rsidRPr="008276D0" w:rsidP="008276D0">
      <w:pPr>
        <w:pStyle w:val="ListBullet2"/>
      </w:pPr>
      <w:r w:rsidRPr="008276D0">
        <w:t xml:space="preserve">estate planning </w:t>
      </w:r>
    </w:p>
    <w:p w:rsidR="00000000" w:rsidRPr="008276D0" w:rsidP="008276D0">
      <w:pPr>
        <w:pStyle w:val="ListBullet2"/>
      </w:pPr>
      <w:r w:rsidRPr="008276D0">
        <w:t xml:space="preserve">writing wills </w:t>
      </w:r>
    </w:p>
    <w:p w:rsidR="00000000" w:rsidRPr="008276D0" w:rsidP="008276D0">
      <w:pPr>
        <w:pStyle w:val="ListBullet2"/>
      </w:pPr>
      <w:r w:rsidRPr="008276D0">
        <w:t xml:space="preserve">acting as executor of deceased estates </w:t>
      </w:r>
    </w:p>
    <w:p w:rsidR="00000000" w:rsidRPr="008276D0" w:rsidP="008276D0">
      <w:pPr>
        <w:pStyle w:val="ListBullet2"/>
      </w:pPr>
      <w:r w:rsidRPr="008276D0">
        <w:t xml:space="preserve">establishing and administering personal trusts </w:t>
      </w:r>
    </w:p>
    <w:p w:rsidR="00000000" w:rsidRPr="008276D0" w:rsidP="008276D0">
      <w:pPr>
        <w:pStyle w:val="ListBullet2"/>
      </w:pPr>
      <w:r w:rsidRPr="008276D0">
        <w:t xml:space="preserve">preparing and administering powers of attorney </w:t>
      </w:r>
    </w:p>
    <w:p w:rsidR="00000000" w:rsidRPr="008276D0" w:rsidP="008276D0">
      <w:pPr>
        <w:pStyle w:val="ListBullet2"/>
      </w:pPr>
      <w:r w:rsidRPr="008276D0">
        <w:t>acting as guardian or financial manager, usually under court or tribunal order, to protect vulnerable beneficiaries</w:t>
      </w:r>
    </w:p>
    <w:p w:rsidR="00000000" w:rsidRPr="008276D0" w:rsidP="008276D0">
      <w:pPr>
        <w:pStyle w:val="ListBullet2"/>
      </w:pPr>
      <w:r w:rsidRPr="008276D0">
        <w:t>administering charitable trusts and foundations</w:t>
      </w:r>
    </w:p>
    <w:p w:rsidR="00000000" w:rsidRPr="008276D0" w:rsidP="008276D0">
      <w:pPr>
        <w:pStyle w:val="ListBullet"/>
      </w:pPr>
      <w:r w:rsidRPr="008276D0">
        <w:t>explain the different governing and founding instruments including:</w:t>
      </w:r>
    </w:p>
    <w:p w:rsidR="00000000" w:rsidRPr="008276D0" w:rsidP="008276D0">
      <w:pPr>
        <w:pStyle w:val="ListBullet2"/>
      </w:pPr>
      <w:r w:rsidRPr="008276D0">
        <w:t>will</w:t>
      </w:r>
    </w:p>
    <w:p w:rsidR="00000000" w:rsidRPr="008276D0" w:rsidP="008276D0">
      <w:pPr>
        <w:pStyle w:val="ListBullet2"/>
      </w:pPr>
      <w:r w:rsidRPr="008276D0">
        <w:t>power of attorney</w:t>
      </w:r>
    </w:p>
    <w:p w:rsidR="00000000" w:rsidRPr="008276D0" w:rsidP="008276D0">
      <w:pPr>
        <w:pStyle w:val="ListBullet2"/>
      </w:pPr>
      <w:r w:rsidRPr="008276D0">
        <w:t>trust deed</w:t>
      </w:r>
    </w:p>
    <w:p w:rsidR="00000000" w:rsidRPr="008276D0" w:rsidP="008276D0">
      <w:pPr>
        <w:pStyle w:val="ListBullet2"/>
      </w:pPr>
      <w:r w:rsidRPr="008276D0">
        <w:t>court order.</w:t>
      </w:r>
    </w:p>
    <w:p w:rsidR="00000000" w:rsidRPr="008276D0" w:rsidP="008276D0">
      <w:pPr>
        <w:pStyle w:val="AllowPageBreak"/>
      </w:pPr>
    </w:p>
    <w:p w:rsidR="00000000" w:rsidRPr="008276D0" w:rsidP="008276D0">
      <w:pPr>
        <w:pStyle w:val="Heading1"/>
      </w:pPr>
      <w:bookmarkStart w:id="4" w:name="O_751678"/>
      <w:bookmarkEnd w:id="4"/>
      <w:r w:rsidRPr="008276D0">
        <w:t>Assessment Conditions</w:t>
      </w:r>
    </w:p>
    <w:p w:rsidR="00000000" w:rsidRPr="008276D0" w:rsidP="00177178">
      <w:pPr>
        <w:pStyle w:val="BodyText"/>
      </w:pPr>
      <w:r w:rsidRPr="008276D0">
        <w:t xml:space="preserve">Assessment must be conducted in a safe environment where evidence gathered demonstrates consistent performance of typical activities experienced in the </w:t>
      </w:r>
      <w:r w:rsidRPr="008276D0">
        <w:t>personal trustee field of work and include access to:</w:t>
      </w:r>
    </w:p>
    <w:p w:rsidR="00000000" w:rsidRPr="008276D0" w:rsidP="008276D0">
      <w:pPr>
        <w:pStyle w:val="ListBullet"/>
      </w:pPr>
      <w:r w:rsidRPr="008276D0">
        <w:t>common office equipment, technology, software and consumables</w:t>
      </w:r>
    </w:p>
    <w:p w:rsidR="00000000" w:rsidRPr="008276D0" w:rsidP="008276D0">
      <w:pPr>
        <w:pStyle w:val="ListBullet"/>
      </w:pPr>
      <w:r w:rsidRPr="008276D0">
        <w:t>appropriate legislation and regulations relevant to trustee organisation</w:t>
      </w:r>
    </w:p>
    <w:p w:rsidR="00000000" w:rsidRPr="008276D0" w:rsidP="008276D0">
      <w:pPr>
        <w:pStyle w:val="ListBullet"/>
      </w:pPr>
      <w:r w:rsidRPr="008276D0">
        <w:t xml:space="preserve">organisational reference materials such as policies, procedures, </w:t>
      </w:r>
      <w:r w:rsidRPr="008276D0">
        <w:t>manuals and checklists .</w:t>
      </w:r>
    </w:p>
    <w:p w:rsidR="00000000" w:rsidRPr="008276D0" w:rsidP="008276D0">
      <w:pPr>
        <w:pStyle w:val="BodyText"/>
      </w:pPr>
    </w:p>
    <w:p w:rsidR="00000000" w:rsidRPr="008276D0" w:rsidP="00177178">
      <w:pPr>
        <w:pStyle w:val="BodyText"/>
      </w:pPr>
      <w:r w:rsidRPr="008276D0">
        <w:t>Assessors of this unit must satisfy the requirements for assessors in applicable vocational education and training legislation, frameworks and/or standards.</w:t>
      </w:r>
    </w:p>
    <w:p w:rsidR="00000000" w:rsidRPr="008276D0" w:rsidP="008276D0">
      <w:pPr>
        <w:pStyle w:val="Heading1"/>
      </w:pPr>
      <w:bookmarkStart w:id="5" w:name="O_751681"/>
      <w:bookmarkEnd w:id="5"/>
      <w:r w:rsidRPr="008276D0">
        <w:t>Links</w:t>
      </w:r>
    </w:p>
    <w:p w:rsidR="00000000" w:rsidRPr="008276D0" w:rsidP="00177178">
      <w:pPr>
        <w:pStyle w:val="BodyText"/>
      </w:pPr>
      <w:r w:rsidRPr="008276D0">
        <w:t>Companion Volume implementation guides are found i</w:t>
      </w:r>
      <w:r w:rsidRPr="008276D0">
        <w:t xml:space="preserve">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442A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276D0" w:rsidP="008276D0"/>
    <w:sectPr w:rsidSect="00827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D0" w:rsidRPr="00177178" w:rsidP="001771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8" w:rsidP="00827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7178" w:rsidP="00827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7178" w:rsidP="00827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6D0" w:rsidRPr="00177178" w:rsidP="001771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178" w:rsidRPr="002D2AF8" w:rsidP="00827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FNSPRT506 Develop understanding of traditional trustee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77178" w:rsidP="00827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92D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C69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B497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6D0"/>
  </w:style>
  <w:style w:type="character" w:customStyle="1" w:styleId="Heading1Char">
    <w:name w:val="Heading 1 Char"/>
    <w:basedOn w:val="DefaultParagraphFont"/>
    <w:link w:val="Heading1"/>
    <w:rsid w:val="00827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6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6D0"/>
    <w:rPr>
      <w:b/>
      <w:spacing w:val="0"/>
    </w:rPr>
  </w:style>
  <w:style w:type="paragraph" w:styleId="ListBullet2">
    <w:name w:val="List Bullet 2"/>
    <w:basedOn w:val="List2"/>
    <w:rsid w:val="008276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6D0"/>
    <w:rPr>
      <w:i/>
    </w:rPr>
  </w:style>
  <w:style w:type="paragraph" w:styleId="Caption">
    <w:name w:val="caption"/>
    <w:basedOn w:val="BodyText"/>
    <w:next w:val="Normal"/>
    <w:qFormat/>
    <w:rsid w:val="00827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6D0"/>
  </w:style>
  <w:style w:type="paragraph" w:styleId="TableofFigures">
    <w:name w:val="table of figures"/>
    <w:basedOn w:val="Normal"/>
    <w:next w:val="Normal"/>
    <w:semiHidden/>
    <w:rsid w:val="00827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6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6D0"/>
    <w:rPr>
      <w:rFonts w:ascii="Wingdings" w:hAnsi="Wingdings"/>
    </w:rPr>
  </w:style>
  <w:style w:type="paragraph" w:customStyle="1" w:styleId="TableHeading">
    <w:name w:val="Table Heading"/>
    <w:basedOn w:val="HeadingBase"/>
    <w:rsid w:val="00827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6D0"/>
    <w:rPr>
      <w:color w:val="0033CC"/>
      <w:u w:val="none"/>
    </w:rPr>
  </w:style>
  <w:style w:type="paragraph" w:customStyle="1" w:styleId="BodyTextRight">
    <w:name w:val="Body Text Right"/>
    <w:basedOn w:val="BodyText"/>
    <w:rsid w:val="00827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6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6D0"/>
    <w:rPr>
      <w:sz w:val="32"/>
    </w:rPr>
  </w:style>
  <w:style w:type="paragraph" w:customStyle="1" w:styleId="HeadingProcedure">
    <w:name w:val="Heading Procedure"/>
    <w:basedOn w:val="HeadingBase"/>
    <w:next w:val="Normal"/>
    <w:rsid w:val="00827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6D0"/>
    <w:pPr>
      <w:spacing w:before="60" w:after="60"/>
    </w:pPr>
  </w:style>
  <w:style w:type="paragraph" w:styleId="ListContinue">
    <w:name w:val="List Continue"/>
    <w:basedOn w:val="List"/>
    <w:rsid w:val="008276D0"/>
    <w:pPr>
      <w:ind w:firstLine="0"/>
    </w:pPr>
  </w:style>
  <w:style w:type="paragraph" w:customStyle="1" w:styleId="ListNote">
    <w:name w:val="List Note"/>
    <w:basedOn w:val="List"/>
    <w:rsid w:val="00827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6D0"/>
    <w:rPr>
      <w:rFonts w:ascii="Courier New" w:hAnsi="Courier New"/>
    </w:rPr>
  </w:style>
  <w:style w:type="paragraph" w:customStyle="1" w:styleId="NoteBullet">
    <w:name w:val="Note Bullet"/>
    <w:basedOn w:val="Note"/>
    <w:rsid w:val="00827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6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6D0"/>
    <w:rPr>
      <w:b/>
      <w:smallCaps/>
    </w:rPr>
  </w:style>
  <w:style w:type="paragraph" w:customStyle="1" w:styleId="TableListNumber">
    <w:name w:val="Table List Number"/>
    <w:basedOn w:val="ListNumber"/>
    <w:rsid w:val="00827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6D0"/>
    <w:pPr>
      <w:numPr>
        <w:numId w:val="9"/>
      </w:numPr>
    </w:pPr>
  </w:style>
  <w:style w:type="paragraph" w:customStyle="1" w:styleId="ListAlpha2">
    <w:name w:val="List Alpha 2"/>
    <w:basedOn w:val="List2"/>
    <w:rsid w:val="008276D0"/>
    <w:pPr>
      <w:numPr>
        <w:numId w:val="8"/>
      </w:numPr>
    </w:pPr>
  </w:style>
  <w:style w:type="paragraph" w:styleId="List2">
    <w:name w:val="List 2"/>
    <w:basedOn w:val="BodyText"/>
    <w:rsid w:val="00827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6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6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6D0"/>
    <w:pPr>
      <w:numPr>
        <w:numId w:val="4"/>
      </w:numPr>
    </w:pPr>
  </w:style>
  <w:style w:type="paragraph" w:styleId="ListContinue2">
    <w:name w:val="List Continue 2"/>
    <w:basedOn w:val="List2"/>
    <w:rsid w:val="008276D0"/>
    <w:pPr>
      <w:ind w:firstLine="0"/>
    </w:pPr>
  </w:style>
  <w:style w:type="paragraph" w:styleId="ListContinue3">
    <w:name w:val="List Continue 3"/>
    <w:basedOn w:val="List3"/>
    <w:rsid w:val="008276D0"/>
    <w:pPr>
      <w:ind w:left="1021" w:firstLine="0"/>
    </w:pPr>
  </w:style>
  <w:style w:type="paragraph" w:styleId="ListContinue4">
    <w:name w:val="List Continue 4"/>
    <w:basedOn w:val="List4"/>
    <w:rsid w:val="008276D0"/>
    <w:pPr>
      <w:ind w:firstLine="0"/>
    </w:pPr>
  </w:style>
  <w:style w:type="paragraph" w:styleId="ListContinue5">
    <w:name w:val="List Continue 5"/>
    <w:basedOn w:val="List5"/>
    <w:rsid w:val="008276D0"/>
    <w:pPr>
      <w:ind w:firstLine="0"/>
    </w:pPr>
  </w:style>
  <w:style w:type="paragraph" w:styleId="ListNumber3">
    <w:name w:val="List Number 3"/>
    <w:basedOn w:val="List3"/>
    <w:rsid w:val="008276D0"/>
    <w:pPr>
      <w:numPr>
        <w:numId w:val="5"/>
      </w:numPr>
    </w:pPr>
  </w:style>
  <w:style w:type="paragraph" w:styleId="ListNumber4">
    <w:name w:val="List Number 4"/>
    <w:basedOn w:val="List4"/>
    <w:rsid w:val="008276D0"/>
    <w:pPr>
      <w:numPr>
        <w:numId w:val="6"/>
      </w:numPr>
    </w:pPr>
  </w:style>
  <w:style w:type="paragraph" w:styleId="ListNumber5">
    <w:name w:val="List Number 5"/>
    <w:basedOn w:val="List5"/>
    <w:rsid w:val="008276D0"/>
    <w:pPr>
      <w:numPr>
        <w:numId w:val="7"/>
      </w:numPr>
    </w:pPr>
  </w:style>
  <w:style w:type="paragraph" w:styleId="BlockText">
    <w:name w:val="Block Text"/>
    <w:basedOn w:val="Normal"/>
    <w:rsid w:val="00827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6D0"/>
    <w:rPr>
      <w:sz w:val="16"/>
      <w:vertAlign w:val="superscript"/>
    </w:rPr>
  </w:style>
  <w:style w:type="character" w:customStyle="1" w:styleId="Symbols">
    <w:name w:val="Symbols"/>
    <w:basedOn w:val="DefaultParagraphFont"/>
    <w:rsid w:val="008276D0"/>
    <w:rPr>
      <w:rFonts w:ascii="Symbol" w:hAnsi="Symbol"/>
    </w:rPr>
  </w:style>
  <w:style w:type="character" w:customStyle="1" w:styleId="MenuOptions">
    <w:name w:val="Menu Options"/>
    <w:basedOn w:val="DefaultParagraphFont"/>
    <w:rsid w:val="00827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6D0"/>
    <w:rPr>
      <w:b/>
    </w:rPr>
  </w:style>
  <w:style w:type="character" w:customStyle="1" w:styleId="Underlined">
    <w:name w:val="Underlined"/>
    <w:basedOn w:val="DefaultParagraphFont"/>
    <w:rsid w:val="008276D0"/>
    <w:rPr>
      <w:u w:val="single"/>
    </w:rPr>
  </w:style>
  <w:style w:type="paragraph" w:customStyle="1" w:styleId="TableBodyTextRight">
    <w:name w:val="Table Body Text Right"/>
    <w:basedOn w:val="TableBodyText"/>
    <w:rsid w:val="00827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6D0"/>
    <w:rPr>
      <w:sz w:val="18"/>
    </w:rPr>
  </w:style>
  <w:style w:type="paragraph" w:customStyle="1" w:styleId="BodySmallRight">
    <w:name w:val="Body Small Right"/>
    <w:basedOn w:val="BodyTextRight"/>
    <w:rsid w:val="008276D0"/>
    <w:rPr>
      <w:sz w:val="18"/>
      <w:szCs w:val="18"/>
    </w:rPr>
  </w:style>
  <w:style w:type="paragraph" w:customStyle="1" w:styleId="MarginEdition">
    <w:name w:val="Margin Edition"/>
    <w:basedOn w:val="MarginNote"/>
    <w:rsid w:val="00827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6D0"/>
    <w:rPr>
      <w:sz w:val="2"/>
      <w:szCs w:val="2"/>
    </w:rPr>
  </w:style>
  <w:style w:type="character" w:customStyle="1" w:styleId="Small">
    <w:name w:val="Small"/>
    <w:basedOn w:val="DefaultParagraphFont"/>
    <w:rsid w:val="008276D0"/>
    <w:rPr>
      <w:sz w:val="16"/>
    </w:rPr>
  </w:style>
  <w:style w:type="paragraph" w:customStyle="1" w:styleId="WideTable">
    <w:name w:val="Wide Table"/>
    <w:basedOn w:val="Normal"/>
    <w:rsid w:val="00827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6D0"/>
  </w:style>
  <w:style w:type="paragraph" w:styleId="Quote">
    <w:name w:val="Quote"/>
    <w:basedOn w:val="Heading1"/>
    <w:link w:val="QuoteChar"/>
    <w:qFormat/>
    <w:rsid w:val="00827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6D0"/>
    <w:pPr>
      <w:pageBreakBefore/>
    </w:pPr>
  </w:style>
  <w:style w:type="paragraph" w:customStyle="1" w:styleId="Border">
    <w:name w:val="Border"/>
    <w:basedOn w:val="Normal"/>
    <w:qFormat/>
    <w:rsid w:val="00827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6D0"/>
    <w:rPr>
      <w:u w:val="single"/>
    </w:rPr>
  </w:style>
  <w:style w:type="character" w:customStyle="1" w:styleId="BoldandItalics">
    <w:name w:val="Bold and Italics"/>
    <w:qFormat/>
    <w:rsid w:val="008276D0"/>
    <w:rPr>
      <w:b/>
      <w:i/>
      <w:u w:val="none"/>
    </w:rPr>
  </w:style>
  <w:style w:type="paragraph" w:styleId="BalloonText">
    <w:name w:val="Balloon Text"/>
    <w:basedOn w:val="Normal"/>
    <w:link w:val="BalloonTextChar"/>
    <w:rsid w:val="00827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6D0"/>
    <w:pPr>
      <w:spacing w:before="0" w:after="0"/>
    </w:pPr>
  </w:style>
  <w:style w:type="paragraph" w:customStyle="1" w:styleId="BodyTextBold">
    <w:name w:val="Body Text Bold"/>
    <w:basedOn w:val="BodyText"/>
    <w:qFormat/>
    <w:rsid w:val="008276D0"/>
    <w:rPr>
      <w:b/>
    </w:rPr>
  </w:style>
  <w:style w:type="character" w:styleId="Hyperlink">
    <w:name w:val="Hyperlink"/>
    <w:basedOn w:val="DefaultParagraphFont"/>
    <w:uiPriority w:val="99"/>
    <w:unhideWhenUsed/>
    <w:rsid w:val="001771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2623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FNSPRT506 Develop understanding of traditional trustee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