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67CB" w:rsidP="000667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FNSPRT504 Apply knowledge of the regulatory environment relevant to trustee organisations</w:t>
      </w:r>
      <w:r>
        <w:fldChar w:fldCharType="end"/>
      </w:r>
    </w:p>
    <w:p w:rsidR="000667CB" w:rsidP="000667CB">
      <w:pPr>
        <w:pStyle w:val="Version"/>
        <w:sectPr w:rsidSect="003C44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44A9" w:rsidP="003C44A9">
      <w:pPr>
        <w:pStyle w:val="SuperHeading"/>
      </w:pPr>
      <w:r w:rsidRPr="003C44A9">
        <w:t>Assessment Requirements for FNSPRT504 Apply knowledge of the regulatory environment relevant to trustee organisations</w:t>
      </w:r>
    </w:p>
    <w:p w:rsidR="00000000" w:rsidRPr="003C44A9" w:rsidP="003C44A9">
      <w:pPr>
        <w:pStyle w:val="Heading1"/>
      </w:pPr>
      <w:bookmarkStart w:id="1" w:name="O_751447"/>
      <w:bookmarkEnd w:id="1"/>
      <w:r w:rsidRPr="003C44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3C44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4A9" w:rsidP="003C44A9">
            <w:pPr>
              <w:pStyle w:val="BodyText"/>
            </w:pPr>
            <w:r w:rsidRPr="003C44A9">
              <w:rPr>
                <w:rStyle w:val="SpecialBold"/>
              </w:rPr>
              <w:t xml:space="preserve">Release 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4A9">
            <w:pPr>
              <w:pStyle w:val="BodyText"/>
              <w:rPr>
                <w:lang w:val="en-NZ"/>
              </w:rPr>
            </w:pPr>
            <w:r w:rsidRPr="003C44A9">
              <w:rPr>
                <w:rStyle w:val="SpecialBold"/>
              </w:rPr>
              <w:t>Comments</w:t>
            </w:r>
          </w:p>
        </w:tc>
      </w:tr>
      <w:tr w:rsidTr="003C44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4A9">
            <w:pPr>
              <w:pStyle w:val="BodyText"/>
              <w:rPr>
                <w:lang w:val="en-NZ"/>
              </w:rPr>
            </w:pPr>
            <w:r w:rsidRPr="003C44A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4A9" w:rsidP="003C44A9">
            <w:pPr>
              <w:pStyle w:val="BodyText"/>
            </w:pPr>
            <w:r w:rsidRPr="003C44A9">
              <w:t>This version first released with FNS Financial Services Training Package Version 2.0.</w:t>
            </w:r>
          </w:p>
        </w:tc>
      </w:tr>
    </w:tbl>
    <w:p w:rsidR="00000000" w:rsidRPr="003C44A9" w:rsidP="003C44A9">
      <w:pPr>
        <w:pStyle w:val="BodyText"/>
      </w:pPr>
    </w:p>
    <w:p w:rsidR="00000000" w:rsidRPr="003C44A9" w:rsidP="003C44A9">
      <w:pPr>
        <w:pStyle w:val="AllowPageBreak"/>
      </w:pPr>
    </w:p>
    <w:p w:rsidR="00000000" w:rsidRPr="003C44A9" w:rsidP="003C44A9">
      <w:pPr>
        <w:pStyle w:val="Heading1"/>
      </w:pPr>
      <w:bookmarkStart w:id="2" w:name="O_751448"/>
      <w:bookmarkEnd w:id="2"/>
      <w:r w:rsidRPr="003C44A9">
        <w:t>Performance Evidence</w:t>
      </w:r>
    </w:p>
    <w:p w:rsidR="00000000" w:rsidRPr="003C44A9" w:rsidP="000667CB">
      <w:pPr>
        <w:pStyle w:val="BodyText"/>
      </w:pPr>
      <w:r w:rsidRPr="003C44A9">
        <w:t>Evidence of the ability to:</w:t>
      </w:r>
    </w:p>
    <w:p w:rsidR="00000000" w:rsidRPr="003C44A9" w:rsidP="003C44A9">
      <w:pPr>
        <w:pStyle w:val="ListBullet"/>
      </w:pPr>
      <w:r w:rsidRPr="003C44A9">
        <w:t>research current legislation and regulatory requirements in relation to the operations of a trustee o</w:t>
      </w:r>
      <w:r w:rsidRPr="003C44A9">
        <w:t>rganisation and its products, services and employees</w:t>
      </w:r>
    </w:p>
    <w:p w:rsidR="00000000" w:rsidRPr="003C44A9" w:rsidP="003C44A9">
      <w:pPr>
        <w:pStyle w:val="ListBullet"/>
      </w:pPr>
      <w:r w:rsidRPr="003C44A9">
        <w:t xml:space="preserve">provide products and services according to relevant regulatory and organisational requirements </w:t>
      </w:r>
    </w:p>
    <w:p w:rsidR="00000000" w:rsidRPr="003C44A9" w:rsidP="003C44A9">
      <w:pPr>
        <w:pStyle w:val="ListBullet"/>
      </w:pPr>
      <w:r w:rsidRPr="003C44A9">
        <w:t>develop and apply mitigation strategies to reduce any probable or potential chance of non-compliance</w:t>
      </w:r>
    </w:p>
    <w:p w:rsidR="00000000" w:rsidRPr="003C44A9" w:rsidP="003C44A9">
      <w:pPr>
        <w:pStyle w:val="ListBullet"/>
      </w:pPr>
      <w:r w:rsidRPr="003C44A9">
        <w:t>use sy</w:t>
      </w:r>
      <w:r w:rsidRPr="003C44A9">
        <w:t>stems and information sources to access and maintain current knowledge of regulatory requirements.</w:t>
      </w:r>
    </w:p>
    <w:p w:rsidR="00000000" w:rsidRPr="003C44A9" w:rsidP="003C44A9">
      <w:pPr>
        <w:pStyle w:val="BodyText"/>
      </w:pPr>
    </w:p>
    <w:p w:rsidR="00000000" w:rsidRPr="003C44A9" w:rsidP="000667CB">
      <w:pPr>
        <w:pStyle w:val="BodyText"/>
      </w:pPr>
      <w:r w:rsidRPr="003C44A9">
        <w:t>Note: If a specific volume or frequency is not stated, then evidence must be provided at least once.</w:t>
      </w:r>
    </w:p>
    <w:p w:rsidR="00000000" w:rsidRPr="003C44A9" w:rsidP="003C44A9">
      <w:pPr>
        <w:pStyle w:val="Heading1"/>
      </w:pPr>
      <w:bookmarkStart w:id="3" w:name="O_751449"/>
      <w:bookmarkEnd w:id="3"/>
      <w:r w:rsidRPr="003C44A9">
        <w:t>Knowledge Evidence</w:t>
      </w:r>
    </w:p>
    <w:p w:rsidR="00000000" w:rsidRPr="003C44A9" w:rsidP="000667CB">
      <w:pPr>
        <w:pStyle w:val="BodyText"/>
      </w:pPr>
      <w:r w:rsidRPr="003C44A9">
        <w:t>To complete the unit requirements safely and effectively, the individual must:</w:t>
      </w:r>
    </w:p>
    <w:p w:rsidR="00000000" w:rsidRPr="003C44A9" w:rsidP="003C44A9">
      <w:pPr>
        <w:pStyle w:val="ListBullet"/>
      </w:pPr>
      <w:r w:rsidRPr="003C44A9">
        <w:t>describe traditional trustee organisation products and services including:</w:t>
      </w:r>
    </w:p>
    <w:p w:rsidR="00000000" w:rsidRPr="003C44A9" w:rsidP="003C44A9">
      <w:pPr>
        <w:pStyle w:val="ListBullet2"/>
      </w:pPr>
      <w:r w:rsidRPr="003C44A9">
        <w:t xml:space="preserve">estate planning </w:t>
      </w:r>
    </w:p>
    <w:p w:rsidR="00000000" w:rsidRPr="003C44A9" w:rsidP="003C44A9">
      <w:pPr>
        <w:pStyle w:val="ListBullet2"/>
      </w:pPr>
      <w:r w:rsidRPr="003C44A9">
        <w:t xml:space="preserve">writing wills </w:t>
      </w:r>
    </w:p>
    <w:p w:rsidR="00000000" w:rsidRPr="003C44A9" w:rsidP="003C44A9">
      <w:pPr>
        <w:pStyle w:val="ListBullet2"/>
      </w:pPr>
      <w:r w:rsidRPr="003C44A9">
        <w:t xml:space="preserve">acting as executor of deceased estates </w:t>
      </w:r>
    </w:p>
    <w:p w:rsidR="00000000" w:rsidRPr="003C44A9" w:rsidP="003C44A9">
      <w:pPr>
        <w:pStyle w:val="ListBullet2"/>
      </w:pPr>
      <w:r w:rsidRPr="003C44A9">
        <w:t>establishing and administeri</w:t>
      </w:r>
      <w:r w:rsidRPr="003C44A9">
        <w:t xml:space="preserve">ng personal trusts </w:t>
      </w:r>
    </w:p>
    <w:p w:rsidR="00000000" w:rsidRPr="003C44A9" w:rsidP="003C44A9">
      <w:pPr>
        <w:pStyle w:val="ListBullet2"/>
      </w:pPr>
      <w:r w:rsidRPr="003C44A9">
        <w:t xml:space="preserve">preparing and administering ppowers of aattorney </w:t>
      </w:r>
    </w:p>
    <w:p w:rsidR="00000000" w:rsidRPr="003C44A9" w:rsidP="003C44A9">
      <w:pPr>
        <w:pStyle w:val="ListBullet2"/>
      </w:pPr>
      <w:r w:rsidRPr="003C44A9">
        <w:t>acting as guardian or financial manager, usually under court or ttribunal order, to protect vulnerable beneficiaries</w:t>
      </w:r>
    </w:p>
    <w:p w:rsidR="00000000" w:rsidRPr="003C44A9" w:rsidP="003C44A9">
      <w:pPr>
        <w:pStyle w:val="ListBullet2"/>
      </w:pPr>
      <w:r w:rsidRPr="003C44A9">
        <w:t>administering charitable trusts and foundations</w:t>
      </w:r>
    </w:p>
    <w:p w:rsidR="00000000" w:rsidRPr="003C44A9" w:rsidP="003C44A9">
      <w:pPr>
        <w:pStyle w:val="ListBullet"/>
      </w:pPr>
      <w:r w:rsidRPr="003C44A9">
        <w:t>outline the differen</w:t>
      </w:r>
      <w:r w:rsidRPr="003C44A9">
        <w:t>ces in products and services offered by public and private trustee organisations including:</w:t>
      </w:r>
    </w:p>
    <w:p w:rsidR="00000000" w:rsidRPr="003C44A9" w:rsidP="003C44A9">
      <w:pPr>
        <w:pStyle w:val="ListBullet2"/>
      </w:pPr>
      <w:r w:rsidRPr="003C44A9">
        <w:t>trustee or administrator for small super funds</w:t>
      </w:r>
    </w:p>
    <w:p w:rsidR="00000000" w:rsidRPr="003C44A9" w:rsidP="003C44A9">
      <w:pPr>
        <w:pStyle w:val="ListBullet2"/>
      </w:pPr>
      <w:r w:rsidRPr="003C44A9">
        <w:t xml:space="preserve">providing tax advice and preparing tax returns </w:t>
      </w:r>
    </w:p>
    <w:p w:rsidR="00000000" w:rsidRPr="003C44A9" w:rsidP="003C44A9">
      <w:pPr>
        <w:pStyle w:val="ListBullet2"/>
      </w:pPr>
      <w:r w:rsidRPr="003C44A9">
        <w:t xml:space="preserve">financial planning </w:t>
      </w:r>
    </w:p>
    <w:p w:rsidR="00000000" w:rsidRPr="003C44A9" w:rsidP="003C44A9">
      <w:pPr>
        <w:pStyle w:val="ListBullet2"/>
      </w:pPr>
      <w:r w:rsidRPr="003C44A9">
        <w:t xml:space="preserve">funds management </w:t>
      </w:r>
    </w:p>
    <w:p w:rsidR="00000000" w:rsidRPr="003C44A9" w:rsidP="003C44A9">
      <w:pPr>
        <w:pStyle w:val="ListBullet2"/>
      </w:pPr>
      <w:r w:rsidRPr="003C44A9">
        <w:t xml:space="preserve">corporate activities such as registry operations,custodial services ,trustee for debenture and convertible note issues,securitisation facilities ,compliance monitoring,trustee or administrator for retail super funds </w:t>
      </w:r>
    </w:p>
    <w:p w:rsidR="00000000" w:rsidRPr="003C44A9" w:rsidP="003C44A9">
      <w:pPr>
        <w:pStyle w:val="ListBullet"/>
      </w:pPr>
      <w:r w:rsidRPr="003C44A9">
        <w:t>explain relevant elements and any asso</w:t>
      </w:r>
      <w:r w:rsidRPr="003C44A9">
        <w:t>ciated penalties for breach of the key regulatory requirements when operating a trustee organisation providing products and services including:</w:t>
      </w:r>
    </w:p>
    <w:p w:rsidR="00000000" w:rsidRPr="003C44A9" w:rsidP="003C44A9">
      <w:pPr>
        <w:pStyle w:val="ListBullet2"/>
      </w:pPr>
      <w:r w:rsidRPr="003C44A9">
        <w:t>licensing regime</w:t>
      </w:r>
    </w:p>
    <w:p w:rsidR="00000000" w:rsidRPr="003C44A9" w:rsidP="003C44A9">
      <w:pPr>
        <w:pStyle w:val="ListBullet2"/>
      </w:pPr>
      <w:r w:rsidRPr="003C44A9">
        <w:t xml:space="preserve">role of Australian Securities and Investments Commission (ASIC) including relevant regulatory </w:t>
      </w:r>
      <w:r w:rsidRPr="003C44A9">
        <w:t>guides and class orders</w:t>
      </w:r>
    </w:p>
    <w:p w:rsidR="00000000" w:rsidRPr="003C44A9" w:rsidP="003C44A9">
      <w:pPr>
        <w:pStyle w:val="ListBullet2"/>
      </w:pPr>
      <w:r w:rsidRPr="003C44A9">
        <w:t>disclosure of capacity</w:t>
      </w:r>
    </w:p>
    <w:p w:rsidR="00000000" w:rsidRPr="003C44A9" w:rsidP="003C44A9">
      <w:pPr>
        <w:pStyle w:val="ListBullet2"/>
      </w:pPr>
      <w:r w:rsidRPr="003C44A9">
        <w:t xml:space="preserve">fee transparency </w:t>
      </w:r>
    </w:p>
    <w:p w:rsidR="00000000" w:rsidRPr="003C44A9" w:rsidP="003C44A9">
      <w:pPr>
        <w:pStyle w:val="ListBullet2"/>
      </w:pPr>
      <w:r w:rsidRPr="003C44A9">
        <w:t>financial services guides (FSG)</w:t>
      </w:r>
    </w:p>
    <w:p w:rsidR="00000000" w:rsidRPr="003C44A9" w:rsidP="003C44A9">
      <w:pPr>
        <w:pStyle w:val="ListBullet2"/>
      </w:pPr>
      <w:r w:rsidRPr="003C44A9">
        <w:t>dispute resolution process</w:t>
      </w:r>
    </w:p>
    <w:p w:rsidR="00000000" w:rsidRPr="003C44A9" w:rsidP="003C44A9">
      <w:pPr>
        <w:pStyle w:val="ListBullet2"/>
      </w:pPr>
      <w:r w:rsidRPr="003C44A9">
        <w:t>competency of representatives</w:t>
      </w:r>
    </w:p>
    <w:p w:rsidR="00000000" w:rsidRPr="003C44A9" w:rsidP="003C44A9">
      <w:pPr>
        <w:pStyle w:val="ListBullet2"/>
      </w:pPr>
      <w:r w:rsidRPr="003C44A9">
        <w:t>fidelity duty of officers and employees</w:t>
      </w:r>
    </w:p>
    <w:p w:rsidR="00000000" w:rsidRPr="003C44A9" w:rsidP="003C44A9">
      <w:pPr>
        <w:pStyle w:val="ListBullet2"/>
      </w:pPr>
      <w:r w:rsidRPr="003C44A9">
        <w:t>fee caps</w:t>
      </w:r>
    </w:p>
    <w:p w:rsidR="00000000" w:rsidRPr="003C44A9" w:rsidP="003C44A9">
      <w:pPr>
        <w:pStyle w:val="ListBullet2"/>
      </w:pPr>
      <w:r w:rsidRPr="003C44A9">
        <w:t>financial management and risk management</w:t>
      </w:r>
    </w:p>
    <w:p w:rsidR="00000000" w:rsidRPr="003C44A9" w:rsidP="003C44A9">
      <w:pPr>
        <w:pStyle w:val="ListBullet"/>
      </w:pPr>
      <w:r w:rsidRPr="003C44A9">
        <w:t>describe the role of internal and external specialists relating to the application of regulatory requirements relevant to the trustee organisation</w:t>
      </w:r>
    </w:p>
    <w:p w:rsidR="00000000" w:rsidRPr="003C44A9" w:rsidP="003C44A9">
      <w:pPr>
        <w:pStyle w:val="ListBullet"/>
      </w:pPr>
      <w:r w:rsidRPr="003C44A9">
        <w:t>outline key sources of information on regulatory requirements including:</w:t>
      </w:r>
    </w:p>
    <w:p w:rsidR="00000000" w:rsidRPr="003C44A9" w:rsidP="003C44A9">
      <w:pPr>
        <w:pStyle w:val="ListBullet2"/>
      </w:pPr>
      <w:r w:rsidRPr="003C44A9">
        <w:t>Australian Taxation Office (ATO)</w:t>
      </w:r>
    </w:p>
    <w:p w:rsidR="00000000" w:rsidRPr="003C44A9" w:rsidP="003C44A9">
      <w:pPr>
        <w:pStyle w:val="ListBullet2"/>
      </w:pPr>
      <w:r w:rsidRPr="003C44A9">
        <w:t>Au</w:t>
      </w:r>
      <w:r w:rsidRPr="003C44A9">
        <w:t>stralian Securities and Investments Commission (ASIC)</w:t>
      </w:r>
    </w:p>
    <w:p w:rsidR="00000000" w:rsidRPr="003C44A9" w:rsidP="003C44A9">
      <w:pPr>
        <w:pStyle w:val="ListBullet2"/>
      </w:pPr>
      <w:r w:rsidRPr="003C44A9">
        <w:t>courts</w:t>
      </w:r>
    </w:p>
    <w:p w:rsidR="00000000" w:rsidRPr="003C44A9" w:rsidP="003C44A9">
      <w:pPr>
        <w:pStyle w:val="ListBullet2"/>
      </w:pPr>
      <w:r w:rsidRPr="003C44A9">
        <w:t>existing or proposed trust deeds</w:t>
      </w:r>
    </w:p>
    <w:p w:rsidR="00000000" w:rsidRPr="003C44A9" w:rsidP="003C44A9">
      <w:pPr>
        <w:pStyle w:val="ListBullet2"/>
      </w:pPr>
      <w:r w:rsidRPr="003C44A9">
        <w:t>fund managers</w:t>
      </w:r>
    </w:p>
    <w:p w:rsidR="00000000" w:rsidRPr="003C44A9" w:rsidP="003C44A9">
      <w:pPr>
        <w:pStyle w:val="ListBullet2"/>
      </w:pPr>
      <w:r w:rsidRPr="003C44A9">
        <w:t>industry bodies</w:t>
      </w:r>
    </w:p>
    <w:p w:rsidR="00000000" w:rsidRPr="003C44A9" w:rsidP="003C44A9">
      <w:pPr>
        <w:pStyle w:val="ListBullet2"/>
      </w:pPr>
      <w:r w:rsidRPr="003C44A9">
        <w:t>relevant federal, state and territory organisations</w:t>
      </w:r>
    </w:p>
    <w:p w:rsidR="00000000" w:rsidRPr="003C44A9" w:rsidP="003C44A9">
      <w:pPr>
        <w:pStyle w:val="ListBullet2"/>
      </w:pPr>
      <w:r w:rsidRPr="003C44A9">
        <w:t>organisational policy and procedure manuals.</w:t>
      </w:r>
    </w:p>
    <w:p w:rsidR="00000000" w:rsidRPr="003C44A9" w:rsidP="003C44A9">
      <w:pPr>
        <w:pStyle w:val="AllowPageBreak"/>
      </w:pPr>
    </w:p>
    <w:p w:rsidR="00000000" w:rsidRPr="003C44A9" w:rsidP="003C44A9">
      <w:pPr>
        <w:pStyle w:val="Heading1"/>
      </w:pPr>
      <w:bookmarkStart w:id="4" w:name="O_751450"/>
      <w:bookmarkEnd w:id="4"/>
      <w:r w:rsidRPr="003C44A9">
        <w:t>Assessment Conditi</w:t>
      </w:r>
      <w:r w:rsidRPr="003C44A9">
        <w:t>ons</w:t>
      </w:r>
    </w:p>
    <w:p w:rsidR="00000000" w:rsidRPr="003C44A9" w:rsidP="000667CB">
      <w:pPr>
        <w:pStyle w:val="BodyText"/>
      </w:pPr>
      <w:r w:rsidRPr="003C44A9">
        <w:t>Assessment must be conducted in a safe environment where evidence gathered demonstrates consistent performance of typical activities experienced in the personal trustee field of work and include access to:</w:t>
      </w:r>
    </w:p>
    <w:p w:rsidR="00000000" w:rsidRPr="003C44A9" w:rsidP="003C44A9">
      <w:pPr>
        <w:pStyle w:val="ListBullet"/>
      </w:pPr>
      <w:r w:rsidRPr="003C44A9">
        <w:t>common office equipment, technology, software and consumables</w:t>
      </w:r>
    </w:p>
    <w:p w:rsidR="00000000" w:rsidRPr="003C44A9" w:rsidP="003C44A9">
      <w:pPr>
        <w:pStyle w:val="ListBullet"/>
      </w:pPr>
      <w:r w:rsidRPr="003C44A9">
        <w:t>appropriate legislation and regulations relevant to operating a trustee organisation and providing products and services</w:t>
      </w:r>
    </w:p>
    <w:p w:rsidR="00000000" w:rsidRPr="003C44A9" w:rsidP="003C44A9">
      <w:pPr>
        <w:pStyle w:val="ListBullet"/>
      </w:pPr>
      <w:r w:rsidRPr="003C44A9">
        <w:t xml:space="preserve">organisational reference materials such as policies, procedures, manuals </w:t>
      </w:r>
      <w:r w:rsidRPr="003C44A9">
        <w:t>and checklists.</w:t>
      </w:r>
    </w:p>
    <w:p w:rsidR="00000000" w:rsidRPr="003C44A9" w:rsidP="003C44A9">
      <w:pPr>
        <w:pStyle w:val="BodyText"/>
      </w:pPr>
    </w:p>
    <w:p w:rsidR="00000000" w:rsidRPr="003C44A9" w:rsidP="000667CB">
      <w:pPr>
        <w:pStyle w:val="BodyText"/>
      </w:pPr>
      <w:r w:rsidRPr="003C44A9">
        <w:t>Assessors of this unit must satisfy the requirements for assessors in applicable vocational education and training legislation, frameworks and/or standards.</w:t>
      </w:r>
    </w:p>
    <w:p w:rsidR="00000000" w:rsidRPr="003C44A9" w:rsidP="003C44A9">
      <w:pPr>
        <w:pStyle w:val="Heading1"/>
      </w:pPr>
      <w:bookmarkStart w:id="5" w:name="O_751453"/>
      <w:bookmarkEnd w:id="5"/>
      <w:r w:rsidRPr="003C44A9">
        <w:t>Links</w:t>
      </w:r>
    </w:p>
    <w:p w:rsidR="00000000" w:rsidRPr="003C44A9" w:rsidP="000667CB">
      <w:pPr>
        <w:pStyle w:val="BodyText"/>
      </w:pPr>
      <w:r w:rsidRPr="003C44A9">
        <w:t xml:space="preserve">Companion Volume implementation guides are found in VETNet </w:t>
      </w:r>
      <w:r w:rsidRPr="003C44A9">
        <w:t xml:space="preserve">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E427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C44A9" w:rsidP="003C44A9"/>
    <w:sectPr w:rsidSect="003C44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4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4A9" w:rsidRPr="000667CB" w:rsidP="000667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4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7CB" w:rsidP="003C44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67CB" w:rsidP="003C44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67CB" w:rsidP="003C44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4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7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44A9" w:rsidRPr="000667CB" w:rsidP="000667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4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7CB" w:rsidRPr="002D2AF8" w:rsidP="003C44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FNSPRT504 Apply knowledge of the regulatory environment relevant to trustee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0667CB" w:rsidP="003C44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A0F5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A4CF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6AA5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4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44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44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44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44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44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44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44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44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44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44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44A9"/>
  </w:style>
  <w:style w:type="character" w:customStyle="1" w:styleId="Heading1Char">
    <w:name w:val="Heading 1 Char"/>
    <w:basedOn w:val="DefaultParagraphFont"/>
    <w:link w:val="Heading1"/>
    <w:rsid w:val="003C44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44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44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44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44A9"/>
    <w:rPr>
      <w:b/>
      <w:spacing w:val="0"/>
    </w:rPr>
  </w:style>
  <w:style w:type="paragraph" w:styleId="ListBullet2">
    <w:name w:val="List Bullet 2"/>
    <w:basedOn w:val="List2"/>
    <w:rsid w:val="003C44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44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44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44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44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44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44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44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44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44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44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44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44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44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44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44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44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44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44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44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44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44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44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44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44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44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44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44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44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44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44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44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44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44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44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44A9"/>
    <w:rPr>
      <w:i/>
    </w:rPr>
  </w:style>
  <w:style w:type="paragraph" w:styleId="Caption">
    <w:name w:val="caption"/>
    <w:basedOn w:val="BodyText"/>
    <w:next w:val="Normal"/>
    <w:qFormat/>
    <w:rsid w:val="003C44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44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44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44A9"/>
  </w:style>
  <w:style w:type="paragraph" w:styleId="TableofFigures">
    <w:name w:val="table of figures"/>
    <w:basedOn w:val="Normal"/>
    <w:next w:val="Normal"/>
    <w:semiHidden/>
    <w:rsid w:val="003C44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44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44A9"/>
    <w:rPr>
      <w:rFonts w:ascii="Wingdings" w:hAnsi="Wingdings"/>
    </w:rPr>
  </w:style>
  <w:style w:type="paragraph" w:customStyle="1" w:styleId="TableHeading">
    <w:name w:val="Table Heading"/>
    <w:basedOn w:val="HeadingBase"/>
    <w:rsid w:val="003C44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44A9"/>
    <w:rPr>
      <w:color w:val="0033CC"/>
      <w:u w:val="none"/>
    </w:rPr>
  </w:style>
  <w:style w:type="paragraph" w:customStyle="1" w:styleId="BodyTextRight">
    <w:name w:val="Body Text Right"/>
    <w:basedOn w:val="BodyText"/>
    <w:rsid w:val="003C44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44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44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44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44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44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44A9"/>
    <w:rPr>
      <w:sz w:val="32"/>
    </w:rPr>
  </w:style>
  <w:style w:type="paragraph" w:customStyle="1" w:styleId="HeadingProcedure">
    <w:name w:val="Heading Procedure"/>
    <w:basedOn w:val="HeadingBase"/>
    <w:next w:val="Normal"/>
    <w:rsid w:val="003C44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44A9"/>
    <w:pPr>
      <w:spacing w:before="60" w:after="60"/>
    </w:pPr>
  </w:style>
  <w:style w:type="paragraph" w:styleId="ListContinue">
    <w:name w:val="List Continue"/>
    <w:basedOn w:val="List"/>
    <w:rsid w:val="003C44A9"/>
    <w:pPr>
      <w:ind w:firstLine="0"/>
    </w:pPr>
  </w:style>
  <w:style w:type="paragraph" w:customStyle="1" w:styleId="ListNote">
    <w:name w:val="List Note"/>
    <w:basedOn w:val="List"/>
    <w:rsid w:val="003C44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44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44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44A9"/>
    <w:rPr>
      <w:rFonts w:ascii="Courier New" w:hAnsi="Courier New"/>
    </w:rPr>
  </w:style>
  <w:style w:type="paragraph" w:customStyle="1" w:styleId="NoteBullet">
    <w:name w:val="Note Bullet"/>
    <w:basedOn w:val="Note"/>
    <w:rsid w:val="003C44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44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44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44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44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44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44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44A9"/>
    <w:rPr>
      <w:b/>
      <w:smallCaps/>
    </w:rPr>
  </w:style>
  <w:style w:type="paragraph" w:customStyle="1" w:styleId="TableListNumber">
    <w:name w:val="Table List Number"/>
    <w:basedOn w:val="ListNumber"/>
    <w:rsid w:val="003C44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44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44A9"/>
    <w:pPr>
      <w:numPr>
        <w:numId w:val="9"/>
      </w:numPr>
    </w:pPr>
  </w:style>
  <w:style w:type="paragraph" w:customStyle="1" w:styleId="ListAlpha2">
    <w:name w:val="List Alpha 2"/>
    <w:basedOn w:val="List2"/>
    <w:rsid w:val="003C44A9"/>
    <w:pPr>
      <w:numPr>
        <w:numId w:val="8"/>
      </w:numPr>
    </w:pPr>
  </w:style>
  <w:style w:type="paragraph" w:styleId="List2">
    <w:name w:val="List 2"/>
    <w:basedOn w:val="BodyText"/>
    <w:rsid w:val="003C44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44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44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44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44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44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44A9"/>
    <w:pPr>
      <w:numPr>
        <w:numId w:val="4"/>
      </w:numPr>
    </w:pPr>
  </w:style>
  <w:style w:type="paragraph" w:styleId="ListContinue2">
    <w:name w:val="List Continue 2"/>
    <w:basedOn w:val="List2"/>
    <w:rsid w:val="003C44A9"/>
    <w:pPr>
      <w:ind w:firstLine="0"/>
    </w:pPr>
  </w:style>
  <w:style w:type="paragraph" w:styleId="ListContinue3">
    <w:name w:val="List Continue 3"/>
    <w:basedOn w:val="List3"/>
    <w:rsid w:val="003C44A9"/>
    <w:pPr>
      <w:ind w:left="1021" w:firstLine="0"/>
    </w:pPr>
  </w:style>
  <w:style w:type="paragraph" w:styleId="ListContinue4">
    <w:name w:val="List Continue 4"/>
    <w:basedOn w:val="List4"/>
    <w:rsid w:val="003C44A9"/>
    <w:pPr>
      <w:ind w:firstLine="0"/>
    </w:pPr>
  </w:style>
  <w:style w:type="paragraph" w:styleId="ListContinue5">
    <w:name w:val="List Continue 5"/>
    <w:basedOn w:val="List5"/>
    <w:rsid w:val="003C44A9"/>
    <w:pPr>
      <w:ind w:firstLine="0"/>
    </w:pPr>
  </w:style>
  <w:style w:type="paragraph" w:styleId="ListNumber3">
    <w:name w:val="List Number 3"/>
    <w:basedOn w:val="List3"/>
    <w:rsid w:val="003C44A9"/>
    <w:pPr>
      <w:numPr>
        <w:numId w:val="5"/>
      </w:numPr>
    </w:pPr>
  </w:style>
  <w:style w:type="paragraph" w:styleId="ListNumber4">
    <w:name w:val="List Number 4"/>
    <w:basedOn w:val="List4"/>
    <w:rsid w:val="003C44A9"/>
    <w:pPr>
      <w:numPr>
        <w:numId w:val="6"/>
      </w:numPr>
    </w:pPr>
  </w:style>
  <w:style w:type="paragraph" w:styleId="ListNumber5">
    <w:name w:val="List Number 5"/>
    <w:basedOn w:val="List5"/>
    <w:rsid w:val="003C44A9"/>
    <w:pPr>
      <w:numPr>
        <w:numId w:val="7"/>
      </w:numPr>
    </w:pPr>
  </w:style>
  <w:style w:type="paragraph" w:styleId="BlockText">
    <w:name w:val="Block Text"/>
    <w:basedOn w:val="Normal"/>
    <w:rsid w:val="003C44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44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44A9"/>
    <w:rPr>
      <w:sz w:val="16"/>
      <w:vertAlign w:val="superscript"/>
    </w:rPr>
  </w:style>
  <w:style w:type="character" w:customStyle="1" w:styleId="Symbols">
    <w:name w:val="Symbols"/>
    <w:basedOn w:val="DefaultParagraphFont"/>
    <w:rsid w:val="003C44A9"/>
    <w:rPr>
      <w:rFonts w:ascii="Symbol" w:hAnsi="Symbol"/>
    </w:rPr>
  </w:style>
  <w:style w:type="character" w:customStyle="1" w:styleId="MenuOptions">
    <w:name w:val="Menu Options"/>
    <w:basedOn w:val="DefaultParagraphFont"/>
    <w:rsid w:val="003C44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44A9"/>
    <w:rPr>
      <w:b/>
    </w:rPr>
  </w:style>
  <w:style w:type="character" w:customStyle="1" w:styleId="Underlined">
    <w:name w:val="Underlined"/>
    <w:basedOn w:val="DefaultParagraphFont"/>
    <w:rsid w:val="003C44A9"/>
    <w:rPr>
      <w:u w:val="single"/>
    </w:rPr>
  </w:style>
  <w:style w:type="paragraph" w:customStyle="1" w:styleId="TableBodyTextRight">
    <w:name w:val="Table Body Text Right"/>
    <w:basedOn w:val="TableBodyText"/>
    <w:rsid w:val="003C44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44A9"/>
    <w:rPr>
      <w:sz w:val="18"/>
    </w:rPr>
  </w:style>
  <w:style w:type="paragraph" w:customStyle="1" w:styleId="BodySmallRight">
    <w:name w:val="Body Small Right"/>
    <w:basedOn w:val="BodyTextRight"/>
    <w:rsid w:val="003C44A9"/>
    <w:rPr>
      <w:sz w:val="18"/>
      <w:szCs w:val="18"/>
    </w:rPr>
  </w:style>
  <w:style w:type="paragraph" w:customStyle="1" w:styleId="MarginEdition">
    <w:name w:val="Margin Edition"/>
    <w:basedOn w:val="MarginNote"/>
    <w:rsid w:val="003C44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44A9"/>
    <w:rPr>
      <w:sz w:val="2"/>
      <w:szCs w:val="2"/>
    </w:rPr>
  </w:style>
  <w:style w:type="character" w:customStyle="1" w:styleId="Small">
    <w:name w:val="Small"/>
    <w:basedOn w:val="DefaultParagraphFont"/>
    <w:rsid w:val="003C44A9"/>
    <w:rPr>
      <w:sz w:val="16"/>
    </w:rPr>
  </w:style>
  <w:style w:type="paragraph" w:customStyle="1" w:styleId="WideTable">
    <w:name w:val="Wide Table"/>
    <w:basedOn w:val="Normal"/>
    <w:rsid w:val="003C44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44A9"/>
  </w:style>
  <w:style w:type="paragraph" w:styleId="Quote">
    <w:name w:val="Quote"/>
    <w:basedOn w:val="Heading1"/>
    <w:link w:val="QuoteChar"/>
    <w:qFormat/>
    <w:rsid w:val="003C44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44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44A9"/>
    <w:pPr>
      <w:pageBreakBefore/>
    </w:pPr>
  </w:style>
  <w:style w:type="paragraph" w:customStyle="1" w:styleId="Border">
    <w:name w:val="Border"/>
    <w:basedOn w:val="Normal"/>
    <w:qFormat/>
    <w:rsid w:val="003C44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44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4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4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44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44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44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44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44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44A9"/>
    <w:rPr>
      <w:u w:val="single"/>
    </w:rPr>
  </w:style>
  <w:style w:type="character" w:customStyle="1" w:styleId="BoldandItalics">
    <w:name w:val="Bold and Italics"/>
    <w:qFormat/>
    <w:rsid w:val="003C44A9"/>
    <w:rPr>
      <w:b/>
      <w:i/>
      <w:u w:val="none"/>
    </w:rPr>
  </w:style>
  <w:style w:type="paragraph" w:styleId="BalloonText">
    <w:name w:val="Balloon Text"/>
    <w:basedOn w:val="Normal"/>
    <w:link w:val="BalloonTextChar"/>
    <w:rsid w:val="003C44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44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44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44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44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44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44A9"/>
    <w:pPr>
      <w:spacing w:before="0" w:after="0"/>
    </w:pPr>
  </w:style>
  <w:style w:type="paragraph" w:customStyle="1" w:styleId="BodyTextBold">
    <w:name w:val="Body Text Bold"/>
    <w:basedOn w:val="BodyText"/>
    <w:qFormat/>
    <w:rsid w:val="003C44A9"/>
    <w:rPr>
      <w:b/>
    </w:rPr>
  </w:style>
  <w:style w:type="character" w:styleId="Hyperlink">
    <w:name w:val="Hyperlink"/>
    <w:basedOn w:val="DefaultParagraphFont"/>
    <w:uiPriority w:val="99"/>
    <w:unhideWhenUsed/>
    <w:rsid w:val="000667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3465</Characters>
  <Application>Microsoft Office Word</Application>
  <DocSecurity>0</DocSecurity>
  <Lines>96</Lines>
  <Paragraphs>70</Paragraphs>
  <ScaleCrop>false</ScaleCrop>
  <Company>Author-it Software Corporation Ltd.</Company>
  <LinksUpToDate>false</LinksUpToDate>
  <CharactersWithSpaces>3888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FNSPRT504 Apply knowledge of the regulatory environment relevant to trustee organisations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2022-01-27T02:25:00Z</dcterms:created>
  <dcterms:modified xsi:type="dcterms:W3CDTF">2022-01-27T02:25:00Z</dcterms:modified>
</cp:coreProperties>
</file>