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C48" w:rsidP="00D54C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FNSPRT413 Administer complex estates</w:t>
      </w:r>
      <w:r>
        <w:fldChar w:fldCharType="end"/>
      </w:r>
    </w:p>
    <w:p w:rsidR="00D54C48" w:rsidP="00D54C48">
      <w:pPr>
        <w:pStyle w:val="Version"/>
        <w:sectPr w:rsidSect="00C97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2E1" w:rsidP="00C972E1">
      <w:pPr>
        <w:pStyle w:val="SuperHeading"/>
      </w:pPr>
      <w:r w:rsidRPr="00C972E1">
        <w:t>Assessment Requirements for FNSPRT413 Administer complex estates</w:t>
      </w:r>
    </w:p>
    <w:p w:rsidR="00000000" w:rsidRPr="00C972E1" w:rsidP="00C972E1">
      <w:pPr>
        <w:pStyle w:val="Heading1"/>
      </w:pPr>
      <w:bookmarkStart w:id="1" w:name="O_1230710"/>
      <w:bookmarkEnd w:id="1"/>
      <w:r w:rsidRPr="00C972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97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2E1" w:rsidP="00C972E1">
            <w:pPr>
              <w:pStyle w:val="BodyText"/>
            </w:pPr>
            <w:r w:rsidRPr="00C972E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E1">
            <w:pPr>
              <w:pStyle w:val="BodyText"/>
              <w:rPr>
                <w:lang w:val="en-NZ"/>
              </w:rPr>
            </w:pPr>
            <w:r w:rsidRPr="00C972E1">
              <w:rPr>
                <w:rStyle w:val="SpecialBold"/>
              </w:rPr>
              <w:t>Comments</w:t>
            </w:r>
          </w:p>
        </w:tc>
      </w:tr>
      <w:tr w:rsidTr="00C97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2E1">
            <w:pPr>
              <w:pStyle w:val="BodyText"/>
              <w:rPr>
                <w:lang w:val="en-NZ"/>
              </w:rPr>
            </w:pPr>
            <w:r w:rsidRPr="00C972E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2E1" w:rsidP="00C972E1">
            <w:pPr>
              <w:pStyle w:val="BodyText"/>
            </w:pPr>
            <w:r w:rsidRPr="00C972E1">
              <w:t>This version first released with the FNS Financial Services Training Package Version 8.0.</w:t>
            </w:r>
          </w:p>
          <w:p w:rsidR="00000000" w:rsidRPr="00C972E1" w:rsidP="00C972E1">
            <w:pPr>
              <w:pStyle w:val="BodyText"/>
            </w:pPr>
            <w:r w:rsidRPr="00C972E1">
              <w:t>Supersedes and is equivalent to</w:t>
            </w:r>
            <w:r w:rsidRPr="00C972E1">
              <w:t xml:space="preserve"> FNSPRT403 Administer a complex estate.</w:t>
            </w:r>
          </w:p>
        </w:tc>
      </w:tr>
    </w:tbl>
    <w:p w:rsidR="00000000" w:rsidRPr="00C972E1" w:rsidP="00C972E1">
      <w:pPr>
        <w:pStyle w:val="BodyText"/>
      </w:pPr>
    </w:p>
    <w:p w:rsidR="00000000" w:rsidRPr="00C972E1" w:rsidP="00C972E1">
      <w:pPr>
        <w:pStyle w:val="AllowPageBreak"/>
      </w:pPr>
    </w:p>
    <w:p w:rsidR="00000000" w:rsidRPr="00C972E1" w:rsidP="00C972E1">
      <w:pPr>
        <w:pStyle w:val="Heading1"/>
      </w:pPr>
      <w:bookmarkStart w:id="2" w:name="O_1230711"/>
      <w:bookmarkEnd w:id="2"/>
      <w:r w:rsidRPr="00C972E1">
        <w:t>Performance Evidence</w:t>
      </w:r>
    </w:p>
    <w:p w:rsidR="00000000" w:rsidRPr="00C972E1" w:rsidP="00D54C48">
      <w:pPr>
        <w:pStyle w:val="BodyText"/>
      </w:pPr>
      <w:r w:rsidRPr="00C972E1">
        <w:t xml:space="preserve">The candidate must demonstrate the ability to complete the tasks outlined in the elements, performance criteria and foundation skills of this unit, including evidence of the </w:t>
      </w:r>
      <w:r w:rsidRPr="00C972E1">
        <w:t>ability to:</w:t>
      </w:r>
    </w:p>
    <w:p w:rsidR="00000000" w:rsidRPr="00C972E1" w:rsidP="00C972E1">
      <w:pPr>
        <w:pStyle w:val="ListBullet"/>
      </w:pPr>
      <w:r w:rsidRPr="00C972E1">
        <w:t>administer and finalise at least two complex estates.</w:t>
      </w:r>
    </w:p>
    <w:p w:rsidR="00000000" w:rsidRPr="00C972E1" w:rsidP="00C972E1">
      <w:pPr>
        <w:pStyle w:val="BodyText"/>
      </w:pPr>
    </w:p>
    <w:p w:rsidR="00000000" w:rsidRPr="00C972E1" w:rsidP="00D54C48">
      <w:pPr>
        <w:pStyle w:val="BodyText"/>
      </w:pPr>
      <w:r w:rsidRPr="00C972E1">
        <w:t>In the course of the above, the candidate must:</w:t>
      </w:r>
    </w:p>
    <w:p w:rsidR="00000000" w:rsidRPr="00C972E1" w:rsidP="00C972E1">
      <w:pPr>
        <w:pStyle w:val="ListBullet"/>
      </w:pPr>
      <w:r w:rsidRPr="00C972E1">
        <w:t>identify and manage complex matters, possible risk factors, and irregularities in administering the estate</w:t>
      </w:r>
    </w:p>
    <w:p w:rsidR="00000000" w:rsidRPr="00C972E1" w:rsidP="00C972E1">
      <w:pPr>
        <w:pStyle w:val="ListBullet"/>
      </w:pPr>
      <w:r w:rsidRPr="00C972E1">
        <w:t>prepare required documentation for administration of the estate.</w:t>
      </w:r>
    </w:p>
    <w:p w:rsidR="00000000" w:rsidRPr="00C972E1" w:rsidP="00C972E1">
      <w:pPr>
        <w:pStyle w:val="AllowPageBreak"/>
      </w:pPr>
    </w:p>
    <w:p w:rsidR="00000000" w:rsidRPr="00C972E1" w:rsidP="00C972E1">
      <w:pPr>
        <w:pStyle w:val="Heading1"/>
      </w:pPr>
      <w:bookmarkStart w:id="3" w:name="O_1230712"/>
      <w:bookmarkEnd w:id="3"/>
      <w:r w:rsidRPr="00C972E1">
        <w:t>Knowledge Evidence</w:t>
      </w:r>
    </w:p>
    <w:p w:rsidR="00000000" w:rsidRPr="00C972E1" w:rsidP="00D54C48">
      <w:pPr>
        <w:pStyle w:val="BodyText"/>
      </w:pPr>
      <w:r w:rsidRPr="00C972E1">
        <w:t>The candidate must be able to demonstrate knowledge to complete the tasks outlined in the elements, performance criteria and foundation skills of this un</w:t>
      </w:r>
      <w:r w:rsidRPr="00C972E1">
        <w:t>it, including knowledge of:</w:t>
      </w:r>
    </w:p>
    <w:p w:rsidR="00000000" w:rsidRPr="00C972E1" w:rsidP="00C972E1">
      <w:pPr>
        <w:pStyle w:val="ListBullet"/>
      </w:pPr>
      <w:r w:rsidRPr="00C972E1">
        <w:t>key requirements of legislation and regulation relating to:</w:t>
      </w:r>
    </w:p>
    <w:p w:rsidR="00000000" w:rsidRPr="00C972E1" w:rsidP="00C972E1">
      <w:pPr>
        <w:pStyle w:val="ListBullet2"/>
      </w:pPr>
      <w:r w:rsidRPr="00C972E1">
        <w:t>wills</w:t>
      </w:r>
    </w:p>
    <w:p w:rsidR="00000000" w:rsidRPr="00C972E1" w:rsidP="00C972E1">
      <w:pPr>
        <w:pStyle w:val="ListBullet2"/>
      </w:pPr>
      <w:r w:rsidRPr="00C972E1">
        <w:t>probate and administration</w:t>
      </w:r>
    </w:p>
    <w:p w:rsidR="00000000" w:rsidRPr="00C972E1" w:rsidP="00C972E1">
      <w:pPr>
        <w:pStyle w:val="ListBullet2"/>
      </w:pPr>
      <w:r w:rsidRPr="00C972E1">
        <w:t>intestate succession</w:t>
      </w:r>
    </w:p>
    <w:p w:rsidR="00000000" w:rsidRPr="00C972E1" w:rsidP="00C972E1">
      <w:pPr>
        <w:pStyle w:val="ListBullet2"/>
      </w:pPr>
      <w:r w:rsidRPr="00C972E1">
        <w:t>trusteeships, including investment and obligations of trustees</w:t>
      </w:r>
    </w:p>
    <w:p w:rsidR="00000000" w:rsidRPr="00C972E1" w:rsidP="00C972E1">
      <w:pPr>
        <w:pStyle w:val="ListBullet2"/>
      </w:pPr>
      <w:r w:rsidRPr="00C972E1">
        <w:t>preparing an application for administration</w:t>
      </w:r>
    </w:p>
    <w:p w:rsidR="00000000" w:rsidRPr="00C972E1" w:rsidP="00C972E1">
      <w:pPr>
        <w:pStyle w:val="ListBullet2"/>
      </w:pPr>
      <w:r w:rsidRPr="00C972E1">
        <w:t>taxat</w:t>
      </w:r>
      <w:r w:rsidRPr="00C972E1">
        <w:t>ion and tax obligations as they relate to administration of estates and trusts</w:t>
      </w:r>
    </w:p>
    <w:p w:rsidR="00000000" w:rsidRPr="00C972E1" w:rsidP="00C972E1">
      <w:pPr>
        <w:pStyle w:val="ListBullet"/>
      </w:pPr>
      <w:r w:rsidRPr="00C972E1">
        <w:t>role, responsibilities and authority of an executor</w:t>
      </w:r>
    </w:p>
    <w:p w:rsidR="00000000" w:rsidRPr="00C972E1" w:rsidP="00C972E1">
      <w:pPr>
        <w:pStyle w:val="ListBullet"/>
      </w:pPr>
      <w:r w:rsidRPr="00C972E1">
        <w:t>processes required to prove a will and to administer the estate</w:t>
      </w:r>
    </w:p>
    <w:p w:rsidR="00000000" w:rsidRPr="00C972E1" w:rsidP="00C972E1">
      <w:pPr>
        <w:pStyle w:val="ListBullet"/>
      </w:pPr>
      <w:r w:rsidRPr="00C972E1">
        <w:t>risk factors and irregularities in the will that increase the chance of litigation, including:</w:t>
      </w:r>
    </w:p>
    <w:p w:rsidR="00000000" w:rsidRPr="00C972E1" w:rsidP="00C972E1">
      <w:pPr>
        <w:pStyle w:val="ListBullet2"/>
      </w:pPr>
      <w:r w:rsidRPr="00C972E1">
        <w:t>family maintenance provisions</w:t>
      </w:r>
    </w:p>
    <w:p w:rsidR="00000000" w:rsidRPr="00C972E1" w:rsidP="00C972E1">
      <w:pPr>
        <w:pStyle w:val="ListBullet2"/>
      </w:pPr>
      <w:r w:rsidRPr="00C972E1">
        <w:t>validity of the will</w:t>
      </w:r>
    </w:p>
    <w:p w:rsidR="00000000" w:rsidRPr="00C972E1" w:rsidP="00C972E1">
      <w:pPr>
        <w:pStyle w:val="ListBullet2"/>
      </w:pPr>
      <w:r w:rsidRPr="00C972E1">
        <w:t>informal will</w:t>
      </w:r>
    </w:p>
    <w:p w:rsidR="00000000" w:rsidRPr="00C972E1" w:rsidP="00C972E1">
      <w:pPr>
        <w:pStyle w:val="ListBullet"/>
      </w:pPr>
      <w:r w:rsidRPr="00C972E1">
        <w:t>complex matters impacting on estate administration, including:</w:t>
      </w:r>
    </w:p>
    <w:p w:rsidR="00000000" w:rsidRPr="00C972E1" w:rsidP="00C972E1">
      <w:pPr>
        <w:pStyle w:val="ListBullet2"/>
      </w:pPr>
      <w:r w:rsidRPr="00C972E1">
        <w:t>conflict between beneficiaries</w:t>
      </w:r>
    </w:p>
    <w:p w:rsidR="00000000" w:rsidRPr="00C972E1" w:rsidP="00C972E1">
      <w:pPr>
        <w:pStyle w:val="ListBullet2"/>
      </w:pPr>
      <w:r w:rsidRPr="00C972E1">
        <w:t>capital gains tax</w:t>
      </w:r>
    </w:p>
    <w:p w:rsidR="00000000" w:rsidRPr="00C972E1" w:rsidP="00C972E1">
      <w:pPr>
        <w:pStyle w:val="ListBullet2"/>
      </w:pPr>
      <w:r w:rsidRPr="00C972E1">
        <w:t>complex assets due to volume, physical location and type</w:t>
      </w:r>
    </w:p>
    <w:p w:rsidR="00000000" w:rsidRPr="00C972E1" w:rsidP="00C972E1">
      <w:pPr>
        <w:pStyle w:val="ListBullet2"/>
      </w:pPr>
      <w:r w:rsidRPr="00C972E1">
        <w:t>complex beneficiaries due to volume, physical location and potential bankrupt status and other vulnerabilities</w:t>
      </w:r>
    </w:p>
    <w:p w:rsidR="00000000" w:rsidRPr="00C972E1" w:rsidP="00C972E1">
      <w:pPr>
        <w:pStyle w:val="ListBullet"/>
      </w:pPr>
      <w:r w:rsidRPr="00C972E1">
        <w:t>organisational policies and procedures required in administering a c</w:t>
      </w:r>
      <w:r w:rsidRPr="00C972E1">
        <w:t>omplex estate, including those relating to conflict and complaint resolution</w:t>
      </w:r>
    </w:p>
    <w:p w:rsidR="00000000" w:rsidRPr="00C972E1" w:rsidP="00C972E1">
      <w:pPr>
        <w:pStyle w:val="ListBullet"/>
      </w:pPr>
      <w:r w:rsidRPr="00C972E1">
        <w:t>role, responsibilities and powers of the senior personal trust officer, including:</w:t>
      </w:r>
    </w:p>
    <w:p w:rsidR="00000000" w:rsidRPr="00C972E1" w:rsidP="00C972E1">
      <w:pPr>
        <w:pStyle w:val="ListBullet2"/>
      </w:pPr>
      <w:r w:rsidRPr="00C972E1">
        <w:t>management and supervision responsibilities</w:t>
      </w:r>
    </w:p>
    <w:p w:rsidR="00000000" w:rsidRPr="00C972E1" w:rsidP="00C972E1">
      <w:pPr>
        <w:pStyle w:val="ListBullet2"/>
      </w:pPr>
      <w:r w:rsidRPr="00C972E1">
        <w:t>organisational expectations</w:t>
      </w:r>
    </w:p>
    <w:p w:rsidR="00000000" w:rsidRPr="00C972E1" w:rsidP="00C972E1">
      <w:pPr>
        <w:pStyle w:val="ListBullet2"/>
      </w:pPr>
      <w:r w:rsidRPr="00C972E1">
        <w:t xml:space="preserve">limitation of personal </w:t>
      </w:r>
      <w:r w:rsidRPr="00C972E1">
        <w:t>authority in giving investment advice</w:t>
      </w:r>
    </w:p>
    <w:p w:rsidR="00000000" w:rsidRPr="00C972E1" w:rsidP="00C972E1">
      <w:pPr>
        <w:pStyle w:val="ListBullet"/>
      </w:pPr>
      <w:r w:rsidRPr="00C972E1">
        <w:t>role played by, and procedures for, internal or external specialists relating to personal trustee sector</w:t>
      </w:r>
    </w:p>
    <w:p w:rsidR="00000000" w:rsidRPr="00C972E1" w:rsidP="00C972E1">
      <w:pPr>
        <w:pStyle w:val="ListBullet"/>
      </w:pPr>
      <w:r w:rsidRPr="00C972E1">
        <w:t>professional code of conduct in the personal trustee sector</w:t>
      </w:r>
    </w:p>
    <w:p w:rsidR="00000000" w:rsidRPr="00C972E1" w:rsidP="00C972E1">
      <w:pPr>
        <w:pStyle w:val="ListBullet"/>
      </w:pPr>
      <w:r w:rsidRPr="00C972E1">
        <w:t>potential estate liabilities, including:</w:t>
      </w:r>
    </w:p>
    <w:p w:rsidR="00000000" w:rsidRPr="00C972E1" w:rsidP="00C972E1">
      <w:pPr>
        <w:pStyle w:val="ListBullet2"/>
      </w:pPr>
      <w:r w:rsidRPr="00C972E1">
        <w:t>claims on the estate</w:t>
      </w:r>
    </w:p>
    <w:p w:rsidR="00000000" w:rsidRPr="00C972E1" w:rsidP="00C972E1">
      <w:pPr>
        <w:pStyle w:val="ListBullet2"/>
      </w:pPr>
      <w:r w:rsidRPr="00C972E1">
        <w:t>fees and charges and other administration expenses</w:t>
      </w:r>
    </w:p>
    <w:p w:rsidR="00000000" w:rsidRPr="00C972E1" w:rsidP="00C972E1">
      <w:pPr>
        <w:pStyle w:val="ListBullet2"/>
      </w:pPr>
      <w:r w:rsidRPr="00C972E1">
        <w:t>debts of the deceased</w:t>
      </w:r>
    </w:p>
    <w:p w:rsidR="00000000" w:rsidRPr="00C972E1" w:rsidP="00C972E1">
      <w:pPr>
        <w:pStyle w:val="ListBullet2"/>
      </w:pPr>
      <w:r w:rsidRPr="00C972E1">
        <w:t>final tax return obligations of the deceased.</w:t>
      </w:r>
    </w:p>
    <w:p w:rsidR="00000000" w:rsidRPr="00C972E1" w:rsidP="00C972E1">
      <w:pPr>
        <w:pStyle w:val="AllowPageBreak"/>
      </w:pPr>
    </w:p>
    <w:p w:rsidR="00000000" w:rsidRPr="00C972E1" w:rsidP="00C972E1">
      <w:pPr>
        <w:pStyle w:val="Heading1"/>
      </w:pPr>
      <w:bookmarkStart w:id="4" w:name="O_1230713"/>
      <w:bookmarkEnd w:id="4"/>
      <w:r w:rsidRPr="00C972E1">
        <w:t>Assessment Conditions</w:t>
      </w:r>
    </w:p>
    <w:p w:rsidR="00000000" w:rsidRPr="00C972E1" w:rsidP="00D54C48">
      <w:pPr>
        <w:pStyle w:val="BodyText"/>
      </w:pPr>
      <w:r w:rsidRPr="00C972E1">
        <w:t>Skills in this unit must be demonstrated in a workplace or simulated enviro</w:t>
      </w:r>
      <w:r w:rsidRPr="00C972E1">
        <w:t>nment where the conditions are typical of those in a working environment in this industry.</w:t>
      </w:r>
    </w:p>
    <w:p w:rsidR="00000000" w:rsidRPr="00C972E1" w:rsidP="00D54C48">
      <w:pPr>
        <w:pStyle w:val="BodyText"/>
      </w:pPr>
      <w:r w:rsidRPr="00C972E1">
        <w:t>This includes access to:</w:t>
      </w:r>
    </w:p>
    <w:p w:rsidR="00000000" w:rsidRPr="00C972E1" w:rsidP="00C972E1">
      <w:pPr>
        <w:pStyle w:val="ListBullet"/>
      </w:pPr>
      <w:r w:rsidRPr="00C972E1">
        <w:t>office equipment, technology, software and consumables</w:t>
      </w:r>
    </w:p>
    <w:p w:rsidR="00000000" w:rsidRPr="00C972E1" w:rsidP="00C972E1">
      <w:pPr>
        <w:pStyle w:val="ListBullet"/>
      </w:pPr>
      <w:r w:rsidRPr="00C972E1">
        <w:t xml:space="preserve">organisational policies and procedures, and legislation and regulations relevant to </w:t>
      </w:r>
      <w:r w:rsidRPr="00C972E1">
        <w:t>administering a complex estate.</w:t>
      </w:r>
    </w:p>
    <w:p w:rsidR="00000000" w:rsidRPr="00C972E1" w:rsidP="00C972E1">
      <w:pPr>
        <w:pStyle w:val="BodyText"/>
      </w:pPr>
    </w:p>
    <w:p w:rsidR="00000000" w:rsidRPr="00C972E1" w:rsidP="00D54C48">
      <w:pPr>
        <w:pStyle w:val="BodyText"/>
      </w:pPr>
      <w:r w:rsidRPr="00C972E1">
        <w:t>Assessors of this unit must satisfy the requirements for assessors in applicable vocational education and training legislation, frameworks and/or standards.</w:t>
      </w:r>
    </w:p>
    <w:p w:rsidR="00000000" w:rsidRPr="00C972E1" w:rsidP="00C972E1">
      <w:pPr>
        <w:pStyle w:val="Heading1"/>
      </w:pPr>
      <w:bookmarkStart w:id="5" w:name="O_1230716"/>
      <w:bookmarkEnd w:id="5"/>
      <w:r w:rsidRPr="00C972E1">
        <w:t>Links</w:t>
      </w:r>
    </w:p>
    <w:p w:rsidR="00000000" w:rsidRPr="00C972E1" w:rsidP="00D54C48">
      <w:pPr>
        <w:pStyle w:val="BodyText"/>
      </w:pPr>
      <w:r w:rsidRPr="00C972E1">
        <w:t xml:space="preserve">Companion Volume Implementation Guide is </w:t>
      </w:r>
      <w:r w:rsidRPr="00C972E1">
        <w:t xml:space="preserve">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C11B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972E1" w:rsidP="00C972E1"/>
    <w:sectPr w:rsidSect="00C972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E1" w:rsidRPr="00D54C48" w:rsidP="00D54C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48" w:rsidP="00C97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4C48" w:rsidP="00C97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4C48" w:rsidP="00C97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2E1" w:rsidRPr="00D54C48" w:rsidP="00D54C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48" w:rsidRPr="002D2AF8" w:rsidP="00C97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FNSPRT413 Administer complex estates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54C48" w:rsidP="00C97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AAF2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2E3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C40F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2E1"/>
  </w:style>
  <w:style w:type="character" w:customStyle="1" w:styleId="Heading1Char">
    <w:name w:val="Heading 1 Char"/>
    <w:basedOn w:val="DefaultParagraphFont"/>
    <w:link w:val="Heading1"/>
    <w:rsid w:val="00C97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2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2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72E1"/>
    <w:rPr>
      <w:b/>
      <w:spacing w:val="0"/>
    </w:rPr>
  </w:style>
  <w:style w:type="paragraph" w:styleId="ListBullet2">
    <w:name w:val="List Bullet 2"/>
    <w:basedOn w:val="List2"/>
    <w:rsid w:val="00C972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7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7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2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2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7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2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72E1"/>
    <w:rPr>
      <w:i/>
    </w:rPr>
  </w:style>
  <w:style w:type="paragraph" w:styleId="Caption">
    <w:name w:val="caption"/>
    <w:basedOn w:val="BodyText"/>
    <w:next w:val="Normal"/>
    <w:qFormat/>
    <w:rsid w:val="00C97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2E1"/>
  </w:style>
  <w:style w:type="paragraph" w:styleId="TableofFigures">
    <w:name w:val="table of figures"/>
    <w:basedOn w:val="Normal"/>
    <w:next w:val="Normal"/>
    <w:semiHidden/>
    <w:rsid w:val="00C97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2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72E1"/>
    <w:rPr>
      <w:rFonts w:ascii="Wingdings" w:hAnsi="Wingdings"/>
    </w:rPr>
  </w:style>
  <w:style w:type="paragraph" w:customStyle="1" w:styleId="TableHeading">
    <w:name w:val="Table Heading"/>
    <w:basedOn w:val="HeadingBase"/>
    <w:rsid w:val="00C972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2E1"/>
    <w:rPr>
      <w:color w:val="0033CC"/>
      <w:u w:val="none"/>
    </w:rPr>
  </w:style>
  <w:style w:type="paragraph" w:customStyle="1" w:styleId="BodyTextRight">
    <w:name w:val="Body Text Right"/>
    <w:basedOn w:val="BodyText"/>
    <w:rsid w:val="00C97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2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2E1"/>
    <w:rPr>
      <w:sz w:val="32"/>
    </w:rPr>
  </w:style>
  <w:style w:type="paragraph" w:customStyle="1" w:styleId="HeadingProcedure">
    <w:name w:val="Heading Procedure"/>
    <w:basedOn w:val="HeadingBase"/>
    <w:next w:val="Normal"/>
    <w:rsid w:val="00C97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2E1"/>
    <w:pPr>
      <w:spacing w:before="60" w:after="60"/>
    </w:pPr>
  </w:style>
  <w:style w:type="paragraph" w:styleId="ListContinue">
    <w:name w:val="List Continue"/>
    <w:basedOn w:val="List"/>
    <w:rsid w:val="00C972E1"/>
    <w:pPr>
      <w:ind w:firstLine="0"/>
    </w:pPr>
  </w:style>
  <w:style w:type="paragraph" w:customStyle="1" w:styleId="ListNote">
    <w:name w:val="List Note"/>
    <w:basedOn w:val="List"/>
    <w:rsid w:val="00C97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2E1"/>
    <w:rPr>
      <w:rFonts w:ascii="Courier New" w:hAnsi="Courier New"/>
    </w:rPr>
  </w:style>
  <w:style w:type="paragraph" w:customStyle="1" w:styleId="NoteBullet">
    <w:name w:val="Note Bullet"/>
    <w:basedOn w:val="Note"/>
    <w:rsid w:val="00C97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2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7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2E1"/>
    <w:rPr>
      <w:b/>
      <w:smallCaps/>
    </w:rPr>
  </w:style>
  <w:style w:type="paragraph" w:customStyle="1" w:styleId="TableListNumber">
    <w:name w:val="Table List Number"/>
    <w:basedOn w:val="ListNumber"/>
    <w:rsid w:val="00C97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2E1"/>
    <w:pPr>
      <w:numPr>
        <w:numId w:val="9"/>
      </w:numPr>
    </w:pPr>
  </w:style>
  <w:style w:type="paragraph" w:customStyle="1" w:styleId="ListAlpha2">
    <w:name w:val="List Alpha 2"/>
    <w:basedOn w:val="List2"/>
    <w:rsid w:val="00C972E1"/>
    <w:pPr>
      <w:numPr>
        <w:numId w:val="8"/>
      </w:numPr>
    </w:pPr>
  </w:style>
  <w:style w:type="paragraph" w:styleId="List2">
    <w:name w:val="List 2"/>
    <w:basedOn w:val="BodyText"/>
    <w:rsid w:val="00C972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2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2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2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72E1"/>
    <w:pPr>
      <w:numPr>
        <w:numId w:val="4"/>
      </w:numPr>
    </w:pPr>
  </w:style>
  <w:style w:type="paragraph" w:styleId="ListContinue2">
    <w:name w:val="List Continue 2"/>
    <w:basedOn w:val="List2"/>
    <w:rsid w:val="00C972E1"/>
    <w:pPr>
      <w:ind w:firstLine="0"/>
    </w:pPr>
  </w:style>
  <w:style w:type="paragraph" w:styleId="ListContinue3">
    <w:name w:val="List Continue 3"/>
    <w:basedOn w:val="List3"/>
    <w:rsid w:val="00C972E1"/>
    <w:pPr>
      <w:ind w:left="1021" w:firstLine="0"/>
    </w:pPr>
  </w:style>
  <w:style w:type="paragraph" w:styleId="ListContinue4">
    <w:name w:val="List Continue 4"/>
    <w:basedOn w:val="List4"/>
    <w:rsid w:val="00C972E1"/>
    <w:pPr>
      <w:ind w:firstLine="0"/>
    </w:pPr>
  </w:style>
  <w:style w:type="paragraph" w:styleId="ListContinue5">
    <w:name w:val="List Continue 5"/>
    <w:basedOn w:val="List5"/>
    <w:rsid w:val="00C972E1"/>
    <w:pPr>
      <w:ind w:firstLine="0"/>
    </w:pPr>
  </w:style>
  <w:style w:type="paragraph" w:styleId="ListNumber3">
    <w:name w:val="List Number 3"/>
    <w:basedOn w:val="List3"/>
    <w:rsid w:val="00C972E1"/>
    <w:pPr>
      <w:numPr>
        <w:numId w:val="5"/>
      </w:numPr>
    </w:pPr>
  </w:style>
  <w:style w:type="paragraph" w:styleId="ListNumber4">
    <w:name w:val="List Number 4"/>
    <w:basedOn w:val="List4"/>
    <w:rsid w:val="00C972E1"/>
    <w:pPr>
      <w:numPr>
        <w:numId w:val="6"/>
      </w:numPr>
    </w:pPr>
  </w:style>
  <w:style w:type="paragraph" w:styleId="ListNumber5">
    <w:name w:val="List Number 5"/>
    <w:basedOn w:val="List5"/>
    <w:rsid w:val="00C972E1"/>
    <w:pPr>
      <w:numPr>
        <w:numId w:val="7"/>
      </w:numPr>
    </w:pPr>
  </w:style>
  <w:style w:type="paragraph" w:styleId="BlockText">
    <w:name w:val="Block Text"/>
    <w:basedOn w:val="Normal"/>
    <w:rsid w:val="00C97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2E1"/>
    <w:rPr>
      <w:sz w:val="16"/>
      <w:vertAlign w:val="superscript"/>
    </w:rPr>
  </w:style>
  <w:style w:type="character" w:customStyle="1" w:styleId="Symbols">
    <w:name w:val="Symbols"/>
    <w:basedOn w:val="DefaultParagraphFont"/>
    <w:rsid w:val="00C972E1"/>
    <w:rPr>
      <w:rFonts w:ascii="Symbol" w:hAnsi="Symbol"/>
    </w:rPr>
  </w:style>
  <w:style w:type="character" w:customStyle="1" w:styleId="MenuOptions">
    <w:name w:val="Menu Options"/>
    <w:basedOn w:val="DefaultParagraphFont"/>
    <w:rsid w:val="00C97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2E1"/>
    <w:rPr>
      <w:b/>
    </w:rPr>
  </w:style>
  <w:style w:type="character" w:customStyle="1" w:styleId="Underlined">
    <w:name w:val="Underlined"/>
    <w:basedOn w:val="DefaultParagraphFont"/>
    <w:rsid w:val="00C972E1"/>
    <w:rPr>
      <w:u w:val="single"/>
    </w:rPr>
  </w:style>
  <w:style w:type="paragraph" w:customStyle="1" w:styleId="TableBodyTextRight">
    <w:name w:val="Table Body Text Right"/>
    <w:basedOn w:val="TableBodyText"/>
    <w:rsid w:val="00C97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2E1"/>
    <w:rPr>
      <w:sz w:val="18"/>
    </w:rPr>
  </w:style>
  <w:style w:type="paragraph" w:customStyle="1" w:styleId="BodySmallRight">
    <w:name w:val="Body Small Right"/>
    <w:basedOn w:val="BodyTextRight"/>
    <w:rsid w:val="00C972E1"/>
    <w:rPr>
      <w:sz w:val="18"/>
      <w:szCs w:val="18"/>
    </w:rPr>
  </w:style>
  <w:style w:type="paragraph" w:customStyle="1" w:styleId="MarginEdition">
    <w:name w:val="Margin Edition"/>
    <w:basedOn w:val="MarginNote"/>
    <w:rsid w:val="00C97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2E1"/>
    <w:rPr>
      <w:sz w:val="2"/>
      <w:szCs w:val="2"/>
    </w:rPr>
  </w:style>
  <w:style w:type="character" w:customStyle="1" w:styleId="Small">
    <w:name w:val="Small"/>
    <w:basedOn w:val="DefaultParagraphFont"/>
    <w:rsid w:val="00C972E1"/>
    <w:rPr>
      <w:sz w:val="16"/>
    </w:rPr>
  </w:style>
  <w:style w:type="paragraph" w:customStyle="1" w:styleId="WideTable">
    <w:name w:val="Wide Table"/>
    <w:basedOn w:val="Normal"/>
    <w:rsid w:val="00C97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2E1"/>
  </w:style>
  <w:style w:type="paragraph" w:styleId="Quote">
    <w:name w:val="Quote"/>
    <w:basedOn w:val="Heading1"/>
    <w:link w:val="QuoteChar"/>
    <w:qFormat/>
    <w:rsid w:val="00C97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2E1"/>
    <w:pPr>
      <w:pageBreakBefore/>
    </w:pPr>
  </w:style>
  <w:style w:type="paragraph" w:customStyle="1" w:styleId="Border">
    <w:name w:val="Border"/>
    <w:basedOn w:val="Normal"/>
    <w:qFormat/>
    <w:rsid w:val="00C97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2E1"/>
    <w:rPr>
      <w:u w:val="single"/>
    </w:rPr>
  </w:style>
  <w:style w:type="character" w:customStyle="1" w:styleId="BoldandItalics">
    <w:name w:val="Bold and Italics"/>
    <w:qFormat/>
    <w:rsid w:val="00C972E1"/>
    <w:rPr>
      <w:b/>
      <w:i/>
      <w:u w:val="none"/>
    </w:rPr>
  </w:style>
  <w:style w:type="paragraph" w:styleId="BalloonText">
    <w:name w:val="Balloon Text"/>
    <w:basedOn w:val="Normal"/>
    <w:link w:val="BalloonTextChar"/>
    <w:rsid w:val="00C97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2E1"/>
    <w:pPr>
      <w:spacing w:before="0" w:after="0"/>
    </w:pPr>
  </w:style>
  <w:style w:type="paragraph" w:customStyle="1" w:styleId="BodyTextBold">
    <w:name w:val="Body Text Bold"/>
    <w:basedOn w:val="BodyText"/>
    <w:qFormat/>
    <w:rsid w:val="00C972E1"/>
    <w:rPr>
      <w:b/>
    </w:rPr>
  </w:style>
  <w:style w:type="character" w:styleId="Hyperlink">
    <w:name w:val="Hyperlink"/>
    <w:basedOn w:val="DefaultParagraphFont"/>
    <w:uiPriority w:val="99"/>
    <w:unhideWhenUsed/>
    <w:rsid w:val="00D54C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3014</Characters>
  <Application>Microsoft Office Word</Application>
  <DocSecurity>0</DocSecurity>
  <Lines>81</Lines>
  <Paragraphs>65</Paragraphs>
  <ScaleCrop>false</ScaleCrop>
  <Company>Author-it Software Corporation Ltd.</Company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FNSPRT413 Administer complex estates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