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688F" w:rsidP="008468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FNSPRT403 Administer a complex estate</w:t>
      </w:r>
      <w:r>
        <w:fldChar w:fldCharType="end"/>
      </w:r>
    </w:p>
    <w:p w:rsidR="0084688F" w:rsidP="0084688F">
      <w:pPr>
        <w:pStyle w:val="Version"/>
        <w:sectPr w:rsidSect="00D909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90963" w:rsidP="00D90963">
      <w:pPr>
        <w:pStyle w:val="SuperHeading"/>
      </w:pPr>
      <w:r w:rsidRPr="00D90963">
        <w:t>Assessment Requirements for FNSPRT403 Administer a complex estate</w:t>
      </w:r>
    </w:p>
    <w:p w:rsidR="00000000" w:rsidRPr="00D90963" w:rsidP="00D90963">
      <w:pPr>
        <w:pStyle w:val="Heading1"/>
      </w:pPr>
      <w:bookmarkStart w:id="1" w:name="O_840968"/>
      <w:bookmarkEnd w:id="1"/>
      <w:r w:rsidRPr="00D9096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909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963" w:rsidP="00D90963">
            <w:pPr>
              <w:pStyle w:val="BodyText"/>
            </w:pPr>
            <w:r w:rsidRPr="00D9096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963">
            <w:pPr>
              <w:pStyle w:val="BodyText"/>
              <w:rPr>
                <w:lang w:val="en-NZ"/>
              </w:rPr>
            </w:pPr>
            <w:r w:rsidRPr="00D90963">
              <w:rPr>
                <w:rStyle w:val="SpecialBold"/>
              </w:rPr>
              <w:t>Comments</w:t>
            </w:r>
          </w:p>
        </w:tc>
      </w:tr>
      <w:tr w:rsidTr="00D909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963">
            <w:pPr>
              <w:pStyle w:val="BodyText"/>
              <w:rPr>
                <w:lang w:val="en-NZ"/>
              </w:rPr>
            </w:pPr>
            <w:r w:rsidRPr="00D90963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963">
            <w:pPr>
              <w:pStyle w:val="BodyText"/>
              <w:rPr>
                <w:lang w:val="en-NZ"/>
              </w:rPr>
            </w:pPr>
            <w:r w:rsidRPr="00D90963">
              <w:t>This version first released with FNS Financial Services Training Package Version 2.0.</w:t>
            </w:r>
          </w:p>
        </w:tc>
      </w:tr>
      <w:tr w:rsidTr="00D909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963">
            <w:pPr>
              <w:pStyle w:val="BodyText"/>
              <w:rPr>
                <w:lang w:val="en-NZ"/>
              </w:rPr>
            </w:pPr>
            <w:r w:rsidRPr="00D9096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963" w:rsidP="00D90963">
            <w:pPr>
              <w:pStyle w:val="BodyText"/>
            </w:pPr>
            <w:r w:rsidRPr="00D90963">
              <w:t>This version first released with FNS Financial Services Training Package Version 1.0.</w:t>
            </w:r>
          </w:p>
        </w:tc>
      </w:tr>
    </w:tbl>
    <w:p w:rsidR="00000000" w:rsidRPr="00D90963" w:rsidP="00D90963">
      <w:pPr>
        <w:pStyle w:val="BodyText"/>
      </w:pPr>
    </w:p>
    <w:p w:rsidR="00000000" w:rsidRPr="00D90963" w:rsidP="00D90963">
      <w:pPr>
        <w:pStyle w:val="AllowPageBreak"/>
      </w:pPr>
    </w:p>
    <w:p w:rsidR="00000000" w:rsidRPr="00D90963" w:rsidP="00D90963">
      <w:pPr>
        <w:pStyle w:val="Heading1"/>
      </w:pPr>
      <w:bookmarkStart w:id="2" w:name="O_840967"/>
      <w:bookmarkEnd w:id="2"/>
      <w:r w:rsidRPr="00D90963">
        <w:t>Performance Evidence</w:t>
      </w:r>
    </w:p>
    <w:p w:rsidR="00000000" w:rsidRPr="00D90963" w:rsidP="0084688F">
      <w:pPr>
        <w:pStyle w:val="BodyText"/>
      </w:pPr>
      <w:r w:rsidRPr="00D90963">
        <w:t>Evidence of the ability to:</w:t>
      </w:r>
    </w:p>
    <w:p w:rsidR="00000000" w:rsidRPr="00D90963" w:rsidP="00D90963">
      <w:pPr>
        <w:pStyle w:val="ListBullet"/>
      </w:pPr>
      <w:r w:rsidRPr="00D90963">
        <w:t>identify and manage complex matters, possible risk factors and irregularities in administering an est</w:t>
      </w:r>
      <w:r w:rsidRPr="00D90963">
        <w:t>ate</w:t>
      </w:r>
    </w:p>
    <w:p w:rsidR="00000000" w:rsidRPr="00D90963" w:rsidP="00D90963">
      <w:pPr>
        <w:pStyle w:val="ListBullet"/>
      </w:pPr>
      <w:r w:rsidRPr="00D90963">
        <w:t>conduct research to prove the will and confirm existence of a complex estate</w:t>
      </w:r>
      <w:r>
        <w:t>’</w:t>
      </w:r>
      <w:r w:rsidRPr="00D90963">
        <w:t>s assets, liabilities and beneficiaries according to legislative and organisational requirements</w:t>
      </w:r>
    </w:p>
    <w:p w:rsidR="00000000" w:rsidRPr="00D90963" w:rsidP="00D90963">
      <w:pPr>
        <w:pStyle w:val="ListBullet"/>
      </w:pPr>
      <w:r w:rsidRPr="00D90963">
        <w:t>locate beneficiaries and calculate their entitlements according to legislative and organisational requirements</w:t>
      </w:r>
    </w:p>
    <w:p w:rsidR="00000000" w:rsidRPr="00D90963" w:rsidP="00D90963">
      <w:pPr>
        <w:pStyle w:val="ListBullet"/>
      </w:pPr>
      <w:r w:rsidRPr="00D90963">
        <w:t>prepare documentation to apply for administration of a complex estate</w:t>
      </w:r>
    </w:p>
    <w:p w:rsidR="00000000" w:rsidRPr="00D90963" w:rsidP="00D90963">
      <w:pPr>
        <w:pStyle w:val="ListBullet"/>
      </w:pPr>
      <w:r w:rsidRPr="00D90963">
        <w:t>prepare financial and tax documentation, including capital gains tax, for t</w:t>
      </w:r>
      <w:r w:rsidRPr="00D90963">
        <w:t>he administration of a complex estate.</w:t>
      </w:r>
    </w:p>
    <w:p w:rsidR="00000000" w:rsidRPr="00D90963" w:rsidP="00D90963">
      <w:pPr>
        <w:pStyle w:val="BodyText"/>
      </w:pPr>
    </w:p>
    <w:p w:rsidR="00000000" w:rsidRPr="00D90963" w:rsidP="0084688F">
      <w:pPr>
        <w:pStyle w:val="BodyText"/>
      </w:pPr>
      <w:r w:rsidRPr="00D90963">
        <w:t>Note: If a specific volume or frequency is not stated, then evidence must be provided at least once.</w:t>
      </w:r>
    </w:p>
    <w:p w:rsidR="00000000" w:rsidRPr="00D90963" w:rsidP="00D90963">
      <w:pPr>
        <w:pStyle w:val="Heading1"/>
      </w:pPr>
      <w:bookmarkStart w:id="3" w:name="O_840966"/>
      <w:bookmarkEnd w:id="3"/>
      <w:r w:rsidRPr="00D90963">
        <w:t>Knowledge Evidence</w:t>
      </w:r>
    </w:p>
    <w:p w:rsidR="00000000" w:rsidRPr="00D90963" w:rsidP="0084688F">
      <w:pPr>
        <w:pStyle w:val="BodyText"/>
      </w:pPr>
      <w:r w:rsidRPr="00D90963">
        <w:t>To complete the unit requirements safely and effectively, the individual must:</w:t>
      </w:r>
    </w:p>
    <w:p w:rsidR="00000000" w:rsidRPr="00D90963" w:rsidP="00D90963">
      <w:pPr>
        <w:pStyle w:val="ListBullet"/>
      </w:pPr>
      <w:r w:rsidRPr="00D90963">
        <w:t>describe the key legislative requirements of federal, state and territory legislation and regulation relating to:</w:t>
      </w:r>
    </w:p>
    <w:p w:rsidR="00000000" w:rsidRPr="00D90963" w:rsidP="00D90963">
      <w:pPr>
        <w:pStyle w:val="ListBullet2"/>
      </w:pPr>
      <w:r w:rsidRPr="00D90963">
        <w:t>wills</w:t>
      </w:r>
    </w:p>
    <w:p w:rsidR="00000000" w:rsidRPr="00D90963" w:rsidP="00D90963">
      <w:pPr>
        <w:pStyle w:val="ListBullet2"/>
      </w:pPr>
      <w:r w:rsidRPr="00D90963">
        <w:t>probate and administration</w:t>
      </w:r>
    </w:p>
    <w:p w:rsidR="00000000" w:rsidRPr="00D90963" w:rsidP="00D90963">
      <w:pPr>
        <w:pStyle w:val="ListBullet2"/>
      </w:pPr>
      <w:r w:rsidRPr="00D90963">
        <w:t>intestate succession</w:t>
      </w:r>
    </w:p>
    <w:p w:rsidR="00000000" w:rsidRPr="00D90963" w:rsidP="00D90963">
      <w:pPr>
        <w:pStyle w:val="ListBullet2"/>
      </w:pPr>
      <w:r w:rsidRPr="00D90963">
        <w:t>trusteeships including investment obligations of the trustees preparing an application</w:t>
      </w:r>
      <w:r w:rsidRPr="00D90963">
        <w:t xml:space="preserve"> for administration</w:t>
      </w:r>
    </w:p>
    <w:p w:rsidR="00000000" w:rsidRPr="00D90963" w:rsidP="00D90963">
      <w:pPr>
        <w:pStyle w:val="ListBullet2"/>
      </w:pPr>
      <w:r w:rsidRPr="00D90963">
        <w:t>taxation and tax obligations as they relate to the administration of estates and trusts</w:t>
      </w:r>
    </w:p>
    <w:p w:rsidR="00000000" w:rsidRPr="00D90963" w:rsidP="00D90963">
      <w:pPr>
        <w:pStyle w:val="ListBullet"/>
      </w:pPr>
      <w:r w:rsidRPr="00D90963">
        <w:t>outline the role, responsibilities and authority of an executor</w:t>
      </w:r>
    </w:p>
    <w:p w:rsidR="00000000" w:rsidRPr="00D90963" w:rsidP="00D90963">
      <w:pPr>
        <w:pStyle w:val="ListBullet"/>
      </w:pPr>
      <w:r w:rsidRPr="00D90963">
        <w:t>describe the process to prove a will</w:t>
      </w:r>
    </w:p>
    <w:p w:rsidR="00000000" w:rsidRPr="00D90963" w:rsidP="00D90963">
      <w:pPr>
        <w:pStyle w:val="ListBullet"/>
      </w:pPr>
      <w:r w:rsidRPr="00D90963">
        <w:t>discuss the risk factors and irregularities in the will which increase the chance of litigation including:</w:t>
      </w:r>
    </w:p>
    <w:p w:rsidR="00000000" w:rsidRPr="00D90963" w:rsidP="00D90963">
      <w:pPr>
        <w:pStyle w:val="ListBullet2"/>
      </w:pPr>
      <w:r w:rsidRPr="00D90963">
        <w:t>family maintenance provisions</w:t>
      </w:r>
    </w:p>
    <w:p w:rsidR="00000000" w:rsidRPr="00D90963" w:rsidP="00D90963">
      <w:pPr>
        <w:pStyle w:val="ListBullet2"/>
      </w:pPr>
      <w:r w:rsidRPr="00D90963">
        <w:t>validity of the will</w:t>
      </w:r>
    </w:p>
    <w:p w:rsidR="00000000" w:rsidRPr="00D90963" w:rsidP="00D90963">
      <w:pPr>
        <w:pStyle w:val="ListBullet2"/>
      </w:pPr>
      <w:r w:rsidRPr="00D90963">
        <w:t>informal will</w:t>
      </w:r>
    </w:p>
    <w:p w:rsidR="00000000" w:rsidRPr="00D90963" w:rsidP="00D90963">
      <w:pPr>
        <w:pStyle w:val="ListBullet"/>
      </w:pPr>
      <w:r w:rsidRPr="00D90963">
        <w:t>identify and manage complex estate matters including:</w:t>
      </w:r>
    </w:p>
    <w:p w:rsidR="00000000" w:rsidRPr="00D90963" w:rsidP="00D90963">
      <w:pPr>
        <w:pStyle w:val="ListBullet2"/>
      </w:pPr>
      <w:r w:rsidRPr="00D90963">
        <w:t>conflict between beneficiar</w:t>
      </w:r>
      <w:r w:rsidRPr="00D90963">
        <w:t>ies</w:t>
      </w:r>
    </w:p>
    <w:p w:rsidR="00000000" w:rsidRPr="00D90963" w:rsidP="00D90963">
      <w:pPr>
        <w:pStyle w:val="ListBullet2"/>
      </w:pPr>
      <w:r w:rsidRPr="00D90963">
        <w:t>capital gains tax</w:t>
      </w:r>
    </w:p>
    <w:p w:rsidR="00000000" w:rsidRPr="00D90963" w:rsidP="00D90963">
      <w:pPr>
        <w:pStyle w:val="ListBullet2"/>
      </w:pPr>
      <w:r w:rsidRPr="00D90963">
        <w:t>complex assets due to volume, physical location and type</w:t>
      </w:r>
    </w:p>
    <w:p w:rsidR="00000000" w:rsidRPr="00D90963" w:rsidP="00D90963">
      <w:pPr>
        <w:pStyle w:val="ListBullet2"/>
      </w:pPr>
      <w:r w:rsidRPr="00D90963">
        <w:t>complex beneficiaries due to volume, physical location and potential bankrupt status and other vulnerabilities</w:t>
      </w:r>
    </w:p>
    <w:p w:rsidR="00000000" w:rsidRPr="00D90963" w:rsidP="00D90963">
      <w:pPr>
        <w:pStyle w:val="ListBullet"/>
      </w:pPr>
      <w:r w:rsidRPr="00D90963">
        <w:t>describe organisational policies and procedures required in admin</w:t>
      </w:r>
      <w:r w:rsidRPr="00D90963">
        <w:t>istering a complex estate, including conflict and complaint resolution</w:t>
      </w:r>
    </w:p>
    <w:p w:rsidR="00000000" w:rsidRPr="00D90963" w:rsidP="00D90963">
      <w:pPr>
        <w:pStyle w:val="ListBullet"/>
      </w:pPr>
      <w:r w:rsidRPr="00D90963">
        <w:t>outline the role, responsibilities and powers of the senior personal trust officer including:</w:t>
      </w:r>
    </w:p>
    <w:p w:rsidR="00000000" w:rsidRPr="00D90963" w:rsidP="00D90963">
      <w:pPr>
        <w:pStyle w:val="ListBullet2"/>
      </w:pPr>
      <w:r w:rsidRPr="00D90963">
        <w:t>management and supervision responsibilities</w:t>
      </w:r>
    </w:p>
    <w:p w:rsidR="00000000" w:rsidRPr="00D90963" w:rsidP="00D90963">
      <w:pPr>
        <w:pStyle w:val="ListBullet2"/>
      </w:pPr>
      <w:r w:rsidRPr="00D90963">
        <w:t>organisational expectations</w:t>
      </w:r>
    </w:p>
    <w:p w:rsidR="00000000" w:rsidRPr="00D90963" w:rsidP="00D90963">
      <w:pPr>
        <w:pStyle w:val="ListBullet2"/>
      </w:pPr>
      <w:r w:rsidRPr="00D90963">
        <w:t>limitation of personal authority in giving investment advice</w:t>
      </w:r>
    </w:p>
    <w:p w:rsidR="00000000" w:rsidRPr="00D90963" w:rsidP="00D90963">
      <w:pPr>
        <w:pStyle w:val="ListBullet"/>
      </w:pPr>
      <w:r w:rsidRPr="00D90963">
        <w:t xml:space="preserve">identify the role of, and how and when to contact, internal or external specialists relating to the personal trustee sector </w:t>
      </w:r>
    </w:p>
    <w:p w:rsidR="00000000" w:rsidRPr="00D90963" w:rsidP="00D90963">
      <w:pPr>
        <w:pStyle w:val="ListBullet"/>
      </w:pPr>
      <w:r w:rsidRPr="00D90963">
        <w:t>outline the professional code of conduct, where applicable, in the pe</w:t>
      </w:r>
      <w:r w:rsidRPr="00D90963">
        <w:t xml:space="preserve">rsonal trustee sector </w:t>
      </w:r>
    </w:p>
    <w:p w:rsidR="00000000" w:rsidRPr="00D90963" w:rsidP="00D90963">
      <w:pPr>
        <w:pStyle w:val="ListBullet"/>
      </w:pPr>
      <w:r w:rsidRPr="00D90963">
        <w:t>establish potential estate liabilities including:</w:t>
      </w:r>
    </w:p>
    <w:p w:rsidR="00000000" w:rsidRPr="00D90963" w:rsidP="00D90963">
      <w:pPr>
        <w:pStyle w:val="ListBullet2"/>
      </w:pPr>
      <w:r w:rsidRPr="00D90963">
        <w:t>claims on the estate</w:t>
      </w:r>
    </w:p>
    <w:p w:rsidR="00000000" w:rsidRPr="00D90963" w:rsidP="00D90963">
      <w:pPr>
        <w:pStyle w:val="ListBullet2"/>
      </w:pPr>
      <w:r w:rsidRPr="00D90963">
        <w:t>fees and charges and other administration expenses</w:t>
      </w:r>
    </w:p>
    <w:p w:rsidR="00000000" w:rsidRPr="00D90963" w:rsidP="00D90963">
      <w:pPr>
        <w:pStyle w:val="ListBullet2"/>
      </w:pPr>
      <w:r w:rsidRPr="00D90963">
        <w:t>debts of the deceased</w:t>
      </w:r>
    </w:p>
    <w:p w:rsidR="00000000" w:rsidRPr="00D90963" w:rsidP="00D90963">
      <w:pPr>
        <w:pStyle w:val="ListBullet2"/>
      </w:pPr>
      <w:r w:rsidRPr="00D90963">
        <w:t>final tax return obligations of the deceased.</w:t>
      </w:r>
    </w:p>
    <w:p w:rsidR="00000000" w:rsidRPr="00D90963" w:rsidP="00D90963">
      <w:pPr>
        <w:pStyle w:val="AllowPageBreak"/>
      </w:pPr>
    </w:p>
    <w:p w:rsidR="00000000" w:rsidRPr="00D90963" w:rsidP="00D90963">
      <w:pPr>
        <w:pStyle w:val="Heading1"/>
      </w:pPr>
      <w:bookmarkStart w:id="4" w:name="O_840965"/>
      <w:bookmarkEnd w:id="4"/>
      <w:r w:rsidRPr="00D90963">
        <w:t>Assessment Conditions</w:t>
      </w:r>
    </w:p>
    <w:p w:rsidR="00000000" w:rsidRPr="00D90963" w:rsidP="0084688F">
      <w:pPr>
        <w:pStyle w:val="BodyText"/>
      </w:pPr>
      <w:r w:rsidRPr="00D90963">
        <w:t>Ass</w:t>
      </w:r>
      <w:r w:rsidRPr="00D90963">
        <w:t>essment must be conducted in a safe environment where evidence gathered demonstrates consistent performance of typical activities experienced in the personal trustee field of work and include access to:</w:t>
      </w:r>
    </w:p>
    <w:p w:rsidR="00000000" w:rsidRPr="00D90963" w:rsidP="00D90963">
      <w:pPr>
        <w:pStyle w:val="ListBullet"/>
      </w:pPr>
      <w:r w:rsidRPr="00D90963">
        <w:t>common office equipment, technology, software and co</w:t>
      </w:r>
      <w:r w:rsidRPr="00D90963">
        <w:t>nsumables</w:t>
      </w:r>
    </w:p>
    <w:p w:rsidR="00000000" w:rsidRPr="00D90963" w:rsidP="00D90963">
      <w:pPr>
        <w:pStyle w:val="ListBullet"/>
      </w:pPr>
      <w:r w:rsidRPr="00D90963">
        <w:t>appropriate legislation and regulations relevant to administering a complex estate</w:t>
      </w:r>
    </w:p>
    <w:p w:rsidR="00000000" w:rsidRPr="00D90963" w:rsidP="00D90963">
      <w:pPr>
        <w:pStyle w:val="ListBullet"/>
      </w:pPr>
      <w:r w:rsidRPr="00D90963">
        <w:t>organisational reference materials such as policies, procedures, manuals and checklists the internet for searches.</w:t>
      </w:r>
    </w:p>
    <w:p w:rsidR="00000000" w:rsidRPr="00D90963" w:rsidP="00D90963">
      <w:pPr>
        <w:pStyle w:val="BodyText"/>
      </w:pPr>
    </w:p>
    <w:p w:rsidR="00000000" w:rsidRPr="00D90963" w:rsidP="0084688F">
      <w:pPr>
        <w:pStyle w:val="BodyText"/>
      </w:pPr>
      <w:r w:rsidRPr="00D90963">
        <w:t>Assessors of this unit must satisfy the requirements for assessors in applicable vocational education and training legislation, frameworks and/or standards.</w:t>
      </w:r>
    </w:p>
    <w:p w:rsidR="00000000" w:rsidRPr="00D90963" w:rsidP="00D90963">
      <w:pPr>
        <w:pStyle w:val="Heading1"/>
      </w:pPr>
      <w:bookmarkStart w:id="5" w:name="O_840977"/>
      <w:bookmarkEnd w:id="5"/>
      <w:r w:rsidRPr="00D90963">
        <w:t>Links</w:t>
      </w:r>
    </w:p>
    <w:p w:rsidR="00000000" w:rsidRPr="00D90963" w:rsidP="0084688F">
      <w:pPr>
        <w:pStyle w:val="BodyText"/>
      </w:pPr>
      <w:r w:rsidRPr="00D9096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60CC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D90963" w:rsidP="00D90963"/>
    <w:sectPr w:rsidSect="00D909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9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963" w:rsidRPr="0084688F" w:rsidP="008468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9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88F" w:rsidP="00D909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688F" w:rsidP="00D909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4688F" w:rsidP="00D909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9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8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0963" w:rsidRPr="0084688F" w:rsidP="008468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9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88F" w:rsidRPr="002D2AF8" w:rsidP="00D909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FNSPRT403 Administer a complex estate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84688F" w:rsidP="00D909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B64DA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FBA46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56419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09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09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09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09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09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09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09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09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09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09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09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0963"/>
  </w:style>
  <w:style w:type="character" w:customStyle="1" w:styleId="Heading1Char">
    <w:name w:val="Heading 1 Char"/>
    <w:basedOn w:val="DefaultParagraphFont"/>
    <w:link w:val="Heading1"/>
    <w:rsid w:val="00D909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09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09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096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0963"/>
    <w:rPr>
      <w:b/>
      <w:spacing w:val="0"/>
    </w:rPr>
  </w:style>
  <w:style w:type="paragraph" w:styleId="ListBullet2">
    <w:name w:val="List Bullet 2"/>
    <w:basedOn w:val="List2"/>
    <w:rsid w:val="00D9096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909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09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09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09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09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09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09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09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09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09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09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09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09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09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09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09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09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09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09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09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09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09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09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09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09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909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09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09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09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09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09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09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09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09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0963"/>
    <w:rPr>
      <w:i/>
    </w:rPr>
  </w:style>
  <w:style w:type="paragraph" w:styleId="Caption">
    <w:name w:val="caption"/>
    <w:basedOn w:val="BodyText"/>
    <w:next w:val="Normal"/>
    <w:qFormat/>
    <w:rsid w:val="00D909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09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09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0963"/>
  </w:style>
  <w:style w:type="paragraph" w:styleId="TableofFigures">
    <w:name w:val="table of figures"/>
    <w:basedOn w:val="Normal"/>
    <w:next w:val="Normal"/>
    <w:semiHidden/>
    <w:rsid w:val="00D909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096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90963"/>
    <w:rPr>
      <w:rFonts w:ascii="Wingdings" w:hAnsi="Wingdings"/>
    </w:rPr>
  </w:style>
  <w:style w:type="paragraph" w:customStyle="1" w:styleId="TableHeading">
    <w:name w:val="Table Heading"/>
    <w:basedOn w:val="HeadingBase"/>
    <w:rsid w:val="00D909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0963"/>
    <w:rPr>
      <w:color w:val="0033CC"/>
      <w:u w:val="none"/>
    </w:rPr>
  </w:style>
  <w:style w:type="paragraph" w:customStyle="1" w:styleId="BodyTextRight">
    <w:name w:val="Body Text Right"/>
    <w:basedOn w:val="BodyText"/>
    <w:rsid w:val="00D909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09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096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09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09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09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0963"/>
    <w:rPr>
      <w:sz w:val="32"/>
    </w:rPr>
  </w:style>
  <w:style w:type="paragraph" w:customStyle="1" w:styleId="HeadingProcedure">
    <w:name w:val="Heading Procedure"/>
    <w:basedOn w:val="HeadingBase"/>
    <w:next w:val="Normal"/>
    <w:rsid w:val="00D909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0963"/>
    <w:pPr>
      <w:spacing w:before="60" w:after="60"/>
    </w:pPr>
  </w:style>
  <w:style w:type="paragraph" w:styleId="ListContinue">
    <w:name w:val="List Continue"/>
    <w:basedOn w:val="List"/>
    <w:rsid w:val="00D90963"/>
    <w:pPr>
      <w:ind w:firstLine="0"/>
    </w:pPr>
  </w:style>
  <w:style w:type="paragraph" w:customStyle="1" w:styleId="ListNote">
    <w:name w:val="List Note"/>
    <w:basedOn w:val="List"/>
    <w:rsid w:val="00D909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09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09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0963"/>
    <w:rPr>
      <w:rFonts w:ascii="Courier New" w:hAnsi="Courier New"/>
    </w:rPr>
  </w:style>
  <w:style w:type="paragraph" w:customStyle="1" w:styleId="NoteBullet">
    <w:name w:val="Note Bullet"/>
    <w:basedOn w:val="Note"/>
    <w:rsid w:val="00D909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09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09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09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096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909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09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0963"/>
    <w:rPr>
      <w:b/>
      <w:smallCaps/>
    </w:rPr>
  </w:style>
  <w:style w:type="paragraph" w:customStyle="1" w:styleId="TableListNumber">
    <w:name w:val="Table List Number"/>
    <w:basedOn w:val="ListNumber"/>
    <w:rsid w:val="00D909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09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0963"/>
    <w:pPr>
      <w:numPr>
        <w:numId w:val="9"/>
      </w:numPr>
    </w:pPr>
  </w:style>
  <w:style w:type="paragraph" w:customStyle="1" w:styleId="ListAlpha2">
    <w:name w:val="List Alpha 2"/>
    <w:basedOn w:val="List2"/>
    <w:rsid w:val="00D90963"/>
    <w:pPr>
      <w:numPr>
        <w:numId w:val="8"/>
      </w:numPr>
    </w:pPr>
  </w:style>
  <w:style w:type="paragraph" w:styleId="List2">
    <w:name w:val="List 2"/>
    <w:basedOn w:val="BodyText"/>
    <w:rsid w:val="00D909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09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09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09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096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096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90963"/>
    <w:pPr>
      <w:numPr>
        <w:numId w:val="4"/>
      </w:numPr>
    </w:pPr>
  </w:style>
  <w:style w:type="paragraph" w:styleId="ListContinue2">
    <w:name w:val="List Continue 2"/>
    <w:basedOn w:val="List2"/>
    <w:rsid w:val="00D90963"/>
    <w:pPr>
      <w:ind w:firstLine="0"/>
    </w:pPr>
  </w:style>
  <w:style w:type="paragraph" w:styleId="ListContinue3">
    <w:name w:val="List Continue 3"/>
    <w:basedOn w:val="List3"/>
    <w:rsid w:val="00D90963"/>
    <w:pPr>
      <w:ind w:left="1021" w:firstLine="0"/>
    </w:pPr>
  </w:style>
  <w:style w:type="paragraph" w:styleId="ListContinue4">
    <w:name w:val="List Continue 4"/>
    <w:basedOn w:val="List4"/>
    <w:rsid w:val="00D90963"/>
    <w:pPr>
      <w:ind w:firstLine="0"/>
    </w:pPr>
  </w:style>
  <w:style w:type="paragraph" w:styleId="ListContinue5">
    <w:name w:val="List Continue 5"/>
    <w:basedOn w:val="List5"/>
    <w:rsid w:val="00D90963"/>
    <w:pPr>
      <w:ind w:firstLine="0"/>
    </w:pPr>
  </w:style>
  <w:style w:type="paragraph" w:styleId="ListNumber3">
    <w:name w:val="List Number 3"/>
    <w:basedOn w:val="List3"/>
    <w:rsid w:val="00D90963"/>
    <w:pPr>
      <w:numPr>
        <w:numId w:val="5"/>
      </w:numPr>
    </w:pPr>
  </w:style>
  <w:style w:type="paragraph" w:styleId="ListNumber4">
    <w:name w:val="List Number 4"/>
    <w:basedOn w:val="List4"/>
    <w:rsid w:val="00D90963"/>
    <w:pPr>
      <w:numPr>
        <w:numId w:val="6"/>
      </w:numPr>
    </w:pPr>
  </w:style>
  <w:style w:type="paragraph" w:styleId="ListNumber5">
    <w:name w:val="List Number 5"/>
    <w:basedOn w:val="List5"/>
    <w:rsid w:val="00D90963"/>
    <w:pPr>
      <w:numPr>
        <w:numId w:val="7"/>
      </w:numPr>
    </w:pPr>
  </w:style>
  <w:style w:type="paragraph" w:styleId="BlockText">
    <w:name w:val="Block Text"/>
    <w:basedOn w:val="Normal"/>
    <w:rsid w:val="00D909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09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0963"/>
    <w:rPr>
      <w:sz w:val="16"/>
      <w:vertAlign w:val="superscript"/>
    </w:rPr>
  </w:style>
  <w:style w:type="character" w:customStyle="1" w:styleId="Symbols">
    <w:name w:val="Symbols"/>
    <w:basedOn w:val="DefaultParagraphFont"/>
    <w:rsid w:val="00D90963"/>
    <w:rPr>
      <w:rFonts w:ascii="Symbol" w:hAnsi="Symbol"/>
    </w:rPr>
  </w:style>
  <w:style w:type="character" w:customStyle="1" w:styleId="MenuOptions">
    <w:name w:val="Menu Options"/>
    <w:basedOn w:val="DefaultParagraphFont"/>
    <w:rsid w:val="00D909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0963"/>
    <w:rPr>
      <w:b/>
    </w:rPr>
  </w:style>
  <w:style w:type="character" w:customStyle="1" w:styleId="Underlined">
    <w:name w:val="Underlined"/>
    <w:basedOn w:val="DefaultParagraphFont"/>
    <w:rsid w:val="00D90963"/>
    <w:rPr>
      <w:u w:val="single"/>
    </w:rPr>
  </w:style>
  <w:style w:type="paragraph" w:customStyle="1" w:styleId="TableBodyTextRight">
    <w:name w:val="Table Body Text Right"/>
    <w:basedOn w:val="TableBodyText"/>
    <w:rsid w:val="00D909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0963"/>
    <w:rPr>
      <w:sz w:val="18"/>
    </w:rPr>
  </w:style>
  <w:style w:type="paragraph" w:customStyle="1" w:styleId="BodySmallRight">
    <w:name w:val="Body Small Right"/>
    <w:basedOn w:val="BodyTextRight"/>
    <w:rsid w:val="00D90963"/>
    <w:rPr>
      <w:sz w:val="18"/>
      <w:szCs w:val="18"/>
    </w:rPr>
  </w:style>
  <w:style w:type="paragraph" w:customStyle="1" w:styleId="MarginEdition">
    <w:name w:val="Margin Edition"/>
    <w:basedOn w:val="MarginNote"/>
    <w:rsid w:val="00D909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0963"/>
    <w:rPr>
      <w:sz w:val="2"/>
      <w:szCs w:val="2"/>
    </w:rPr>
  </w:style>
  <w:style w:type="character" w:customStyle="1" w:styleId="Small">
    <w:name w:val="Small"/>
    <w:basedOn w:val="DefaultParagraphFont"/>
    <w:rsid w:val="00D90963"/>
    <w:rPr>
      <w:sz w:val="16"/>
    </w:rPr>
  </w:style>
  <w:style w:type="paragraph" w:customStyle="1" w:styleId="WideTable">
    <w:name w:val="Wide Table"/>
    <w:basedOn w:val="Normal"/>
    <w:rsid w:val="00D909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0963"/>
  </w:style>
  <w:style w:type="paragraph" w:styleId="Quote">
    <w:name w:val="Quote"/>
    <w:basedOn w:val="Heading1"/>
    <w:link w:val="QuoteChar"/>
    <w:qFormat/>
    <w:rsid w:val="00D909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09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0963"/>
    <w:pPr>
      <w:pageBreakBefore/>
    </w:pPr>
  </w:style>
  <w:style w:type="paragraph" w:customStyle="1" w:styleId="Border">
    <w:name w:val="Border"/>
    <w:basedOn w:val="Normal"/>
    <w:qFormat/>
    <w:rsid w:val="00D909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09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09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09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09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09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09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09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09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0963"/>
    <w:rPr>
      <w:u w:val="single"/>
    </w:rPr>
  </w:style>
  <w:style w:type="character" w:customStyle="1" w:styleId="BoldandItalics">
    <w:name w:val="Bold and Italics"/>
    <w:qFormat/>
    <w:rsid w:val="00D90963"/>
    <w:rPr>
      <w:b/>
      <w:i/>
      <w:u w:val="none"/>
    </w:rPr>
  </w:style>
  <w:style w:type="paragraph" w:styleId="BalloonText">
    <w:name w:val="Balloon Text"/>
    <w:basedOn w:val="Normal"/>
    <w:link w:val="BalloonTextChar"/>
    <w:rsid w:val="00D909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09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09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09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09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09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0963"/>
    <w:pPr>
      <w:spacing w:before="0" w:after="0"/>
    </w:pPr>
  </w:style>
  <w:style w:type="paragraph" w:customStyle="1" w:styleId="BodyTextBold">
    <w:name w:val="Body Text Bold"/>
    <w:basedOn w:val="BodyText"/>
    <w:qFormat/>
    <w:rsid w:val="00D90963"/>
    <w:rPr>
      <w:b/>
    </w:rPr>
  </w:style>
  <w:style w:type="character" w:styleId="Hyperlink">
    <w:name w:val="Hyperlink"/>
    <w:basedOn w:val="DefaultParagraphFont"/>
    <w:uiPriority w:val="99"/>
    <w:unhideWhenUsed/>
    <w:rsid w:val="008468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502</Words>
  <Characters>3345</Characters>
  <Application>Microsoft Office Word</Application>
  <DocSecurity>0</DocSecurity>
  <Lines>90</Lines>
  <Paragraphs>67</Paragraphs>
  <ScaleCrop>false</ScaleCrop>
  <Company>Author-it Software Corporation Ltd.</Company>
  <LinksUpToDate>false</LinksUpToDate>
  <CharactersWithSpaces>3780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FNSPRT403 Administer a complex estate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2022-01-27T02:11:00Z</dcterms:created>
  <dcterms:modified xsi:type="dcterms:W3CDTF">2022-01-27T02:11:00Z</dcterms:modified>
</cp:coreProperties>
</file>