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21B1" w:rsidP="00B221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FNSPRT401 Administer an intestate estate</w:t>
      </w:r>
      <w:r>
        <w:fldChar w:fldCharType="end"/>
      </w:r>
    </w:p>
    <w:p w:rsidR="00B221B1" w:rsidP="00B221B1">
      <w:pPr>
        <w:pStyle w:val="Version"/>
        <w:sectPr w:rsidSect="00D04D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4D3A" w:rsidP="00D04D3A">
      <w:pPr>
        <w:pStyle w:val="SuperHeading"/>
      </w:pPr>
      <w:r w:rsidRPr="00D04D3A">
        <w:t>Assessment Requirements for FNSPRT401 Administer an intestate estate</w:t>
      </w:r>
    </w:p>
    <w:p w:rsidR="00000000" w:rsidRPr="00D04D3A" w:rsidP="00D04D3A">
      <w:pPr>
        <w:pStyle w:val="Heading1"/>
      </w:pPr>
      <w:bookmarkStart w:id="1" w:name="O_697102"/>
      <w:bookmarkEnd w:id="1"/>
      <w:r w:rsidRPr="00D04D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04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D3A" w:rsidP="00D04D3A">
            <w:pPr>
              <w:pStyle w:val="BodyText"/>
            </w:pPr>
            <w:r w:rsidRPr="00D04D3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D3A">
            <w:pPr>
              <w:pStyle w:val="BodyText"/>
              <w:rPr>
                <w:lang w:val="en-NZ"/>
              </w:rPr>
            </w:pPr>
            <w:r w:rsidRPr="00D04D3A">
              <w:rPr>
                <w:rStyle w:val="SpecialBold"/>
              </w:rPr>
              <w:t>Comments</w:t>
            </w:r>
          </w:p>
        </w:tc>
      </w:tr>
      <w:tr w:rsidTr="00D04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D3A">
            <w:pPr>
              <w:pStyle w:val="BodyText"/>
              <w:rPr>
                <w:lang w:val="en-NZ"/>
              </w:rPr>
            </w:pPr>
            <w:r w:rsidRPr="00D04D3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D3A" w:rsidP="00D04D3A">
            <w:pPr>
              <w:pStyle w:val="BodyText"/>
            </w:pPr>
            <w:r w:rsidRPr="00D04D3A">
              <w:t>This version first released with FNS Financial Services Training Package Version 1.0.</w:t>
            </w:r>
          </w:p>
        </w:tc>
      </w:tr>
    </w:tbl>
    <w:p w:rsidR="00000000" w:rsidRPr="00D04D3A" w:rsidP="00D04D3A">
      <w:pPr>
        <w:pStyle w:val="BodyText"/>
      </w:pPr>
    </w:p>
    <w:p w:rsidR="00000000" w:rsidRPr="00D04D3A" w:rsidP="00D04D3A">
      <w:pPr>
        <w:pStyle w:val="AllowPageBreak"/>
      </w:pPr>
    </w:p>
    <w:p w:rsidR="00000000" w:rsidRPr="00D04D3A" w:rsidP="00D04D3A">
      <w:pPr>
        <w:pStyle w:val="Heading1"/>
      </w:pPr>
      <w:bookmarkStart w:id="2" w:name="O_697103"/>
      <w:bookmarkEnd w:id="2"/>
      <w:r w:rsidRPr="00D04D3A">
        <w:t>Performance Evidence</w:t>
      </w:r>
    </w:p>
    <w:p w:rsidR="00000000" w:rsidRPr="00D04D3A" w:rsidP="00B221B1">
      <w:pPr>
        <w:pStyle w:val="BodyText"/>
      </w:pPr>
      <w:r w:rsidRPr="00D04D3A">
        <w:t>Evidence of the ability to:</w:t>
      </w:r>
    </w:p>
    <w:p w:rsidR="00000000" w:rsidRPr="00D04D3A" w:rsidP="00D04D3A">
      <w:pPr>
        <w:pStyle w:val="ListBullet"/>
      </w:pPr>
      <w:r w:rsidRPr="00D04D3A">
        <w:t>administer intestate estates in compliance with legislative and industry requirements, and organisational procedures</w:t>
      </w:r>
    </w:p>
    <w:p w:rsidR="00000000" w:rsidRPr="00D04D3A" w:rsidP="00D04D3A">
      <w:pPr>
        <w:pStyle w:val="ListBullet"/>
      </w:pPr>
      <w:r w:rsidRPr="00D04D3A">
        <w:t>conduct genealogical research</w:t>
      </w:r>
    </w:p>
    <w:p w:rsidR="00000000" w:rsidRPr="00D04D3A" w:rsidP="00D04D3A">
      <w:pPr>
        <w:pStyle w:val="ListBullet"/>
      </w:pPr>
      <w:r w:rsidRPr="00D04D3A">
        <w:t>prepare documentation relating to intestate estates</w:t>
      </w:r>
    </w:p>
    <w:p w:rsidR="00000000" w:rsidRPr="00D04D3A" w:rsidP="00D04D3A">
      <w:pPr>
        <w:pStyle w:val="ListBullet"/>
      </w:pPr>
      <w:r w:rsidRPr="00D04D3A">
        <w:t>identif</w:t>
      </w:r>
      <w:r w:rsidRPr="00D04D3A">
        <w:t>y, and manage distribution of, assets and liabilities</w:t>
      </w:r>
    </w:p>
    <w:p w:rsidR="00000000" w:rsidRPr="00D04D3A" w:rsidP="00D04D3A">
      <w:pPr>
        <w:pStyle w:val="ListBullet"/>
      </w:pPr>
      <w:r w:rsidRPr="00D04D3A">
        <w:t>take appropriate actions to manage complex issues.</w:t>
      </w:r>
    </w:p>
    <w:p w:rsidR="00000000" w:rsidRPr="00D04D3A" w:rsidP="00D04D3A">
      <w:pPr>
        <w:pStyle w:val="BodyText"/>
      </w:pPr>
    </w:p>
    <w:p w:rsidR="00000000" w:rsidRPr="00D04D3A" w:rsidP="00B221B1">
      <w:pPr>
        <w:pStyle w:val="BodyText"/>
      </w:pPr>
      <w:r w:rsidRPr="00D04D3A">
        <w:t>Note: If a specific volume or frequency is not stated, then evidence must be provided at least once.</w:t>
      </w:r>
    </w:p>
    <w:p w:rsidR="00000000" w:rsidRPr="00D04D3A" w:rsidP="00D04D3A">
      <w:pPr>
        <w:pStyle w:val="Heading1"/>
      </w:pPr>
      <w:bookmarkStart w:id="3" w:name="O_697104"/>
      <w:bookmarkEnd w:id="3"/>
      <w:r w:rsidRPr="00D04D3A">
        <w:t>Knowledge Evidence</w:t>
      </w:r>
    </w:p>
    <w:p w:rsidR="00000000" w:rsidRPr="00D04D3A" w:rsidP="00B221B1">
      <w:pPr>
        <w:pStyle w:val="BodyText"/>
      </w:pPr>
      <w:r w:rsidRPr="00D04D3A">
        <w:t>To complete the unit requirements safely and effectively, the individual must:</w:t>
      </w:r>
    </w:p>
    <w:p w:rsidR="00000000" w:rsidRPr="00D04D3A" w:rsidP="00D04D3A">
      <w:pPr>
        <w:pStyle w:val="ListBullet"/>
      </w:pPr>
      <w:r w:rsidRPr="00D04D3A">
        <w:t>describe the key requirements of relevant federal, state and territory legislation and regulation relating to:</w:t>
      </w:r>
    </w:p>
    <w:p w:rsidR="00000000" w:rsidRPr="00D04D3A" w:rsidP="00D04D3A">
      <w:pPr>
        <w:pStyle w:val="ListBullet2"/>
      </w:pPr>
      <w:r w:rsidRPr="00D04D3A">
        <w:t>wills</w:t>
      </w:r>
    </w:p>
    <w:p w:rsidR="00000000" w:rsidRPr="00D04D3A" w:rsidP="00D04D3A">
      <w:pPr>
        <w:pStyle w:val="ListBullet2"/>
      </w:pPr>
      <w:r w:rsidRPr="00D04D3A">
        <w:t>intestacies</w:t>
      </w:r>
    </w:p>
    <w:p w:rsidR="00000000" w:rsidRPr="00D04D3A" w:rsidP="00D04D3A">
      <w:pPr>
        <w:pStyle w:val="ListBullet2"/>
      </w:pPr>
      <w:r w:rsidRPr="00D04D3A">
        <w:t>deceased estates</w:t>
      </w:r>
    </w:p>
    <w:p w:rsidR="00000000" w:rsidRPr="00D04D3A" w:rsidP="00D04D3A">
      <w:pPr>
        <w:pStyle w:val="ListBullet2"/>
      </w:pPr>
      <w:r w:rsidRPr="00D04D3A">
        <w:t>probate and administration</w:t>
      </w:r>
    </w:p>
    <w:p w:rsidR="00000000" w:rsidRPr="00D04D3A" w:rsidP="00D04D3A">
      <w:pPr>
        <w:pStyle w:val="ListBullet2"/>
      </w:pPr>
      <w:r w:rsidRPr="00D04D3A">
        <w:t>tr</w:t>
      </w:r>
      <w:r w:rsidRPr="00D04D3A">
        <w:t>usteeships, including investment and obligations of the trustees</w:t>
      </w:r>
    </w:p>
    <w:p w:rsidR="00000000" w:rsidRPr="00D04D3A" w:rsidP="00D04D3A">
      <w:pPr>
        <w:pStyle w:val="ListBullet2"/>
      </w:pPr>
      <w:r w:rsidRPr="00D04D3A">
        <w:t>taxation and tax obligation as they relate to the administration of estates and trusts</w:t>
      </w:r>
    </w:p>
    <w:p w:rsidR="00000000" w:rsidRPr="00D04D3A" w:rsidP="00D04D3A">
      <w:pPr>
        <w:pStyle w:val="ListBullet"/>
      </w:pPr>
      <w:r w:rsidRPr="00D04D3A">
        <w:t>summarise business law for financial institutions including:</w:t>
      </w:r>
    </w:p>
    <w:p w:rsidR="00000000" w:rsidRPr="00D04D3A" w:rsidP="00D04D3A">
      <w:pPr>
        <w:pStyle w:val="ListBullet2"/>
      </w:pPr>
      <w:r w:rsidRPr="00D04D3A">
        <w:t>terminology and phrases</w:t>
      </w:r>
    </w:p>
    <w:p w:rsidR="00000000" w:rsidRPr="00D04D3A" w:rsidP="00D04D3A">
      <w:pPr>
        <w:pStyle w:val="ListBullet2"/>
      </w:pPr>
      <w:r w:rsidRPr="00D04D3A">
        <w:t>statutory charges, taxes and other fees applicable to financial institutions</w:t>
      </w:r>
    </w:p>
    <w:p w:rsidR="00000000" w:rsidRPr="00D04D3A" w:rsidP="00D04D3A">
      <w:pPr>
        <w:pStyle w:val="ListBullet2"/>
      </w:pPr>
      <w:r w:rsidRPr="00D04D3A">
        <w:t>legal parameters of the client–financial institution relationship</w:t>
      </w:r>
    </w:p>
    <w:p w:rsidR="00000000" w:rsidRPr="00D04D3A" w:rsidP="00D04D3A">
      <w:pPr>
        <w:pStyle w:val="ListBullet"/>
      </w:pPr>
      <w:r w:rsidRPr="00D04D3A">
        <w:t>discuss the roles, responsibilities and powers of the personal trust officer including:</w:t>
      </w:r>
    </w:p>
    <w:p w:rsidR="00000000" w:rsidRPr="00D04D3A" w:rsidP="00D04D3A">
      <w:pPr>
        <w:pStyle w:val="ListBullet2"/>
      </w:pPr>
      <w:r w:rsidRPr="00D04D3A">
        <w:t>organisational expectat</w:t>
      </w:r>
      <w:r w:rsidRPr="00D04D3A">
        <w:t>ions</w:t>
      </w:r>
    </w:p>
    <w:p w:rsidR="00000000" w:rsidRPr="00D04D3A" w:rsidP="00D04D3A">
      <w:pPr>
        <w:pStyle w:val="ListBullet2"/>
      </w:pPr>
      <w:r w:rsidRPr="00D04D3A">
        <w:t>limitation of personal authority (e.g. in giving investment advice)</w:t>
      </w:r>
    </w:p>
    <w:p w:rsidR="00000000" w:rsidRPr="00D04D3A" w:rsidP="00D04D3A">
      <w:pPr>
        <w:pStyle w:val="ListBullet"/>
      </w:pPr>
      <w:r w:rsidRPr="00D04D3A">
        <w:t>outline the professional code of conduct in the personal trustee sector including:</w:t>
      </w:r>
    </w:p>
    <w:p w:rsidR="00000000" w:rsidRPr="00D04D3A" w:rsidP="00D04D3A">
      <w:pPr>
        <w:pStyle w:val="ListBullet2"/>
      </w:pPr>
      <w:r w:rsidRPr="00D04D3A">
        <w:t>ethical principles</w:t>
      </w:r>
    </w:p>
    <w:p w:rsidR="00000000" w:rsidRPr="00D04D3A" w:rsidP="00D04D3A">
      <w:pPr>
        <w:pStyle w:val="ListBullet2"/>
      </w:pPr>
      <w:r w:rsidRPr="00D04D3A">
        <w:t>integrity</w:t>
      </w:r>
    </w:p>
    <w:p w:rsidR="00000000" w:rsidRPr="00D04D3A" w:rsidP="00D04D3A">
      <w:pPr>
        <w:pStyle w:val="ListBullet2"/>
      </w:pPr>
      <w:r w:rsidRPr="00D04D3A">
        <w:t>professionalism</w:t>
      </w:r>
    </w:p>
    <w:p w:rsidR="00000000" w:rsidRPr="00D04D3A" w:rsidP="00D04D3A">
      <w:pPr>
        <w:pStyle w:val="ListBullet2"/>
      </w:pPr>
      <w:r w:rsidRPr="00D04D3A">
        <w:t>confidentiality</w:t>
      </w:r>
    </w:p>
    <w:p w:rsidR="00000000" w:rsidRPr="00D04D3A" w:rsidP="00D04D3A">
      <w:pPr>
        <w:pStyle w:val="ListBullet"/>
      </w:pPr>
      <w:r w:rsidRPr="00D04D3A">
        <w:t xml:space="preserve">summarise techniques for contacting </w:t>
      </w:r>
      <w:r w:rsidRPr="00D04D3A">
        <w:t>key organisational personnel with expertise in specialised areas relating to the personal trustee sector</w:t>
      </w:r>
    </w:p>
    <w:p w:rsidR="00000000" w:rsidRPr="00D04D3A" w:rsidP="00D04D3A">
      <w:pPr>
        <w:pStyle w:val="ListBullet"/>
      </w:pPr>
      <w:r w:rsidRPr="00D04D3A">
        <w:t>outline the role of external specialists and resources relevant to requirements in the personal trustee sector</w:t>
      </w:r>
    </w:p>
    <w:p w:rsidR="00000000" w:rsidRPr="00D04D3A" w:rsidP="00D04D3A">
      <w:pPr>
        <w:pStyle w:val="ListBullet"/>
      </w:pPr>
      <w:r w:rsidRPr="00D04D3A">
        <w:t>discuss organisational policy and proced</w:t>
      </w:r>
      <w:r w:rsidRPr="00D04D3A">
        <w:t>ures</w:t>
      </w:r>
    </w:p>
    <w:p w:rsidR="00000000" w:rsidRPr="00D04D3A" w:rsidP="00D04D3A">
      <w:pPr>
        <w:pStyle w:val="ListBullet"/>
      </w:pPr>
      <w:r w:rsidRPr="00D04D3A">
        <w:t>outline products and services offered by personal trustee organisations and fees attached.</w:t>
      </w:r>
    </w:p>
    <w:p w:rsidR="00000000" w:rsidRPr="00D04D3A" w:rsidP="00D04D3A">
      <w:pPr>
        <w:pStyle w:val="AllowPageBreak"/>
      </w:pPr>
    </w:p>
    <w:p w:rsidR="00000000" w:rsidRPr="00D04D3A" w:rsidP="00D04D3A">
      <w:pPr>
        <w:pStyle w:val="Heading1"/>
      </w:pPr>
      <w:bookmarkStart w:id="4" w:name="O_697105"/>
      <w:bookmarkEnd w:id="4"/>
      <w:r w:rsidRPr="00D04D3A">
        <w:t>Assessment Conditions</w:t>
      </w:r>
    </w:p>
    <w:p w:rsidR="00000000" w:rsidRPr="00D04D3A" w:rsidP="00B221B1">
      <w:pPr>
        <w:pStyle w:val="BodyText"/>
      </w:pPr>
      <w:r w:rsidRPr="00D04D3A">
        <w:t>Assessment must be conducted in a safe environment where evidence gathered demonstrates consistent perf</w:t>
      </w:r>
      <w:r w:rsidRPr="00D04D3A">
        <w:t>ormance of typical activities experienced in the personal trustee field of work and include access to:</w:t>
      </w:r>
    </w:p>
    <w:p w:rsidR="00000000" w:rsidRPr="00D04D3A" w:rsidP="00D04D3A">
      <w:pPr>
        <w:pStyle w:val="ListBullet"/>
      </w:pPr>
      <w:r w:rsidRPr="00D04D3A">
        <w:t>organisational policy, procedures, legislation and regulations</w:t>
      </w:r>
    </w:p>
    <w:p w:rsidR="00000000" w:rsidRPr="00D04D3A" w:rsidP="00D04D3A">
      <w:pPr>
        <w:pStyle w:val="ListBullet"/>
      </w:pPr>
      <w:r w:rsidRPr="00D04D3A">
        <w:t>common technology and software.</w:t>
      </w:r>
    </w:p>
    <w:p w:rsidR="00000000" w:rsidRPr="00D04D3A" w:rsidP="00D04D3A">
      <w:pPr>
        <w:pStyle w:val="BodyText"/>
      </w:pPr>
    </w:p>
    <w:p w:rsidR="00000000" w:rsidRPr="00D04D3A" w:rsidP="00B221B1">
      <w:pPr>
        <w:pStyle w:val="BodyText"/>
      </w:pPr>
      <w:r w:rsidRPr="00D04D3A">
        <w:t>Assessors must satisfy NVR/AQTF assessor requirements.</w:t>
      </w:r>
    </w:p>
    <w:p w:rsidR="00000000" w:rsidRPr="00D04D3A" w:rsidP="00D04D3A">
      <w:pPr>
        <w:pStyle w:val="Heading1"/>
      </w:pPr>
      <w:bookmarkStart w:id="5" w:name="O_697108"/>
      <w:bookmarkEnd w:id="5"/>
      <w:r w:rsidRPr="00D04D3A">
        <w:t>Links</w:t>
      </w:r>
    </w:p>
    <w:p w:rsidR="00000000" w:rsidRPr="00D04D3A" w:rsidP="00B221B1">
      <w:pPr>
        <w:pStyle w:val="BodyText"/>
      </w:pPr>
      <w:r w:rsidRPr="00D04D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C2B0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04D3A" w:rsidP="00D04D3A"/>
    <w:sectPr w:rsidSect="00D04D3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D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D3A" w:rsidRPr="00B221B1" w:rsidP="00B221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D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1B1" w:rsidP="00D04D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221B1" w:rsidP="00D04D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221B1" w:rsidP="00D04D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D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1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4D3A" w:rsidRPr="00B221B1" w:rsidP="00B221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D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1B1" w:rsidRPr="002D2AF8" w:rsidP="00D04D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FNSPRT401 Administer an intestate estate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February 2021</w:t>
    </w:r>
    <w:r>
      <w:fldChar w:fldCharType="end"/>
    </w:r>
  </w:p>
  <w:p w:rsidR="00B221B1" w:rsidP="00D04D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BE48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F2DC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A0FC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D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4D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4D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4D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4D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4D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4D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4D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4D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4D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4D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4D3A"/>
  </w:style>
  <w:style w:type="character" w:customStyle="1" w:styleId="Heading1Char">
    <w:name w:val="Heading 1 Char"/>
    <w:basedOn w:val="DefaultParagraphFont"/>
    <w:link w:val="Heading1"/>
    <w:rsid w:val="00D04D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4D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4D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4D3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4D3A"/>
    <w:rPr>
      <w:b/>
      <w:spacing w:val="0"/>
    </w:rPr>
  </w:style>
  <w:style w:type="paragraph" w:styleId="ListBullet2">
    <w:name w:val="List Bullet 2"/>
    <w:basedOn w:val="List2"/>
    <w:rsid w:val="00D04D3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04D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4D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4D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4D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4D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4D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4D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4D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4D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4D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4D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4D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4D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4D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4D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4D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4D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4D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4D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4D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4D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4D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4D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4D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4D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4D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4D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4D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4D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4D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4D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4D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4D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4D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4D3A"/>
    <w:rPr>
      <w:i/>
    </w:rPr>
  </w:style>
  <w:style w:type="paragraph" w:styleId="Caption">
    <w:name w:val="caption"/>
    <w:basedOn w:val="BodyText"/>
    <w:next w:val="Normal"/>
    <w:qFormat/>
    <w:rsid w:val="00D04D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4D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4D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4D3A"/>
  </w:style>
  <w:style w:type="paragraph" w:styleId="TableofFigures">
    <w:name w:val="table of figures"/>
    <w:basedOn w:val="Normal"/>
    <w:next w:val="Normal"/>
    <w:semiHidden/>
    <w:rsid w:val="00D04D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4D3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04D3A"/>
    <w:rPr>
      <w:rFonts w:ascii="Wingdings" w:hAnsi="Wingdings"/>
    </w:rPr>
  </w:style>
  <w:style w:type="paragraph" w:customStyle="1" w:styleId="TableHeading">
    <w:name w:val="Table Heading"/>
    <w:basedOn w:val="HeadingBase"/>
    <w:rsid w:val="00D04D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4D3A"/>
    <w:rPr>
      <w:color w:val="0033CC"/>
      <w:u w:val="none"/>
    </w:rPr>
  </w:style>
  <w:style w:type="paragraph" w:customStyle="1" w:styleId="BodyTextRight">
    <w:name w:val="Body Text Right"/>
    <w:basedOn w:val="BodyText"/>
    <w:rsid w:val="00D04D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4D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4D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4D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4D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4D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4D3A"/>
    <w:rPr>
      <w:sz w:val="32"/>
    </w:rPr>
  </w:style>
  <w:style w:type="paragraph" w:customStyle="1" w:styleId="HeadingProcedure">
    <w:name w:val="Heading Procedure"/>
    <w:basedOn w:val="HeadingBase"/>
    <w:next w:val="Normal"/>
    <w:rsid w:val="00D04D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4D3A"/>
    <w:pPr>
      <w:spacing w:before="60" w:after="60"/>
    </w:pPr>
  </w:style>
  <w:style w:type="paragraph" w:styleId="ListContinue">
    <w:name w:val="List Continue"/>
    <w:basedOn w:val="List"/>
    <w:rsid w:val="00D04D3A"/>
    <w:pPr>
      <w:ind w:firstLine="0"/>
    </w:pPr>
  </w:style>
  <w:style w:type="paragraph" w:customStyle="1" w:styleId="ListNote">
    <w:name w:val="List Note"/>
    <w:basedOn w:val="List"/>
    <w:rsid w:val="00D04D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4D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4D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4D3A"/>
    <w:rPr>
      <w:rFonts w:ascii="Courier New" w:hAnsi="Courier New"/>
    </w:rPr>
  </w:style>
  <w:style w:type="paragraph" w:customStyle="1" w:styleId="NoteBullet">
    <w:name w:val="Note Bullet"/>
    <w:basedOn w:val="Note"/>
    <w:rsid w:val="00D04D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4D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4D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4D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4D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04D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4D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4D3A"/>
    <w:rPr>
      <w:b/>
      <w:smallCaps/>
    </w:rPr>
  </w:style>
  <w:style w:type="paragraph" w:customStyle="1" w:styleId="TableListNumber">
    <w:name w:val="Table List Number"/>
    <w:basedOn w:val="ListNumber"/>
    <w:rsid w:val="00D04D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4D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4D3A"/>
    <w:pPr>
      <w:numPr>
        <w:numId w:val="9"/>
      </w:numPr>
    </w:pPr>
  </w:style>
  <w:style w:type="paragraph" w:customStyle="1" w:styleId="ListAlpha2">
    <w:name w:val="List Alpha 2"/>
    <w:basedOn w:val="List2"/>
    <w:rsid w:val="00D04D3A"/>
    <w:pPr>
      <w:numPr>
        <w:numId w:val="8"/>
      </w:numPr>
    </w:pPr>
  </w:style>
  <w:style w:type="paragraph" w:styleId="List2">
    <w:name w:val="List 2"/>
    <w:basedOn w:val="BodyText"/>
    <w:rsid w:val="00D04D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4D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4D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4D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4D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4D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04D3A"/>
    <w:pPr>
      <w:numPr>
        <w:numId w:val="4"/>
      </w:numPr>
    </w:pPr>
  </w:style>
  <w:style w:type="paragraph" w:styleId="ListContinue2">
    <w:name w:val="List Continue 2"/>
    <w:basedOn w:val="List2"/>
    <w:rsid w:val="00D04D3A"/>
    <w:pPr>
      <w:ind w:firstLine="0"/>
    </w:pPr>
  </w:style>
  <w:style w:type="paragraph" w:styleId="ListContinue3">
    <w:name w:val="List Continue 3"/>
    <w:basedOn w:val="List3"/>
    <w:rsid w:val="00D04D3A"/>
    <w:pPr>
      <w:ind w:left="1021" w:firstLine="0"/>
    </w:pPr>
  </w:style>
  <w:style w:type="paragraph" w:styleId="ListContinue4">
    <w:name w:val="List Continue 4"/>
    <w:basedOn w:val="List4"/>
    <w:rsid w:val="00D04D3A"/>
    <w:pPr>
      <w:ind w:firstLine="0"/>
    </w:pPr>
  </w:style>
  <w:style w:type="paragraph" w:styleId="ListContinue5">
    <w:name w:val="List Continue 5"/>
    <w:basedOn w:val="List5"/>
    <w:rsid w:val="00D04D3A"/>
    <w:pPr>
      <w:ind w:firstLine="0"/>
    </w:pPr>
  </w:style>
  <w:style w:type="paragraph" w:styleId="ListNumber3">
    <w:name w:val="List Number 3"/>
    <w:basedOn w:val="List3"/>
    <w:rsid w:val="00D04D3A"/>
    <w:pPr>
      <w:numPr>
        <w:numId w:val="5"/>
      </w:numPr>
    </w:pPr>
  </w:style>
  <w:style w:type="paragraph" w:styleId="ListNumber4">
    <w:name w:val="List Number 4"/>
    <w:basedOn w:val="List4"/>
    <w:rsid w:val="00D04D3A"/>
    <w:pPr>
      <w:numPr>
        <w:numId w:val="6"/>
      </w:numPr>
    </w:pPr>
  </w:style>
  <w:style w:type="paragraph" w:styleId="ListNumber5">
    <w:name w:val="List Number 5"/>
    <w:basedOn w:val="List5"/>
    <w:rsid w:val="00D04D3A"/>
    <w:pPr>
      <w:numPr>
        <w:numId w:val="7"/>
      </w:numPr>
    </w:pPr>
  </w:style>
  <w:style w:type="paragraph" w:styleId="BlockText">
    <w:name w:val="Block Text"/>
    <w:basedOn w:val="Normal"/>
    <w:rsid w:val="00D04D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4D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4D3A"/>
    <w:rPr>
      <w:sz w:val="16"/>
      <w:vertAlign w:val="superscript"/>
    </w:rPr>
  </w:style>
  <w:style w:type="character" w:customStyle="1" w:styleId="Symbols">
    <w:name w:val="Symbols"/>
    <w:basedOn w:val="DefaultParagraphFont"/>
    <w:rsid w:val="00D04D3A"/>
    <w:rPr>
      <w:rFonts w:ascii="Symbol" w:hAnsi="Symbol"/>
    </w:rPr>
  </w:style>
  <w:style w:type="character" w:customStyle="1" w:styleId="MenuOptions">
    <w:name w:val="Menu Options"/>
    <w:basedOn w:val="DefaultParagraphFont"/>
    <w:rsid w:val="00D04D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4D3A"/>
    <w:rPr>
      <w:b/>
    </w:rPr>
  </w:style>
  <w:style w:type="character" w:customStyle="1" w:styleId="Underlined">
    <w:name w:val="Underlined"/>
    <w:basedOn w:val="DefaultParagraphFont"/>
    <w:rsid w:val="00D04D3A"/>
    <w:rPr>
      <w:u w:val="single"/>
    </w:rPr>
  </w:style>
  <w:style w:type="paragraph" w:customStyle="1" w:styleId="TableBodyTextRight">
    <w:name w:val="Table Body Text Right"/>
    <w:basedOn w:val="TableBodyText"/>
    <w:rsid w:val="00D04D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4D3A"/>
    <w:rPr>
      <w:sz w:val="18"/>
    </w:rPr>
  </w:style>
  <w:style w:type="paragraph" w:customStyle="1" w:styleId="BodySmallRight">
    <w:name w:val="Body Small Right"/>
    <w:basedOn w:val="BodyTextRight"/>
    <w:rsid w:val="00D04D3A"/>
    <w:rPr>
      <w:sz w:val="18"/>
      <w:szCs w:val="18"/>
    </w:rPr>
  </w:style>
  <w:style w:type="paragraph" w:customStyle="1" w:styleId="MarginEdition">
    <w:name w:val="Margin Edition"/>
    <w:basedOn w:val="MarginNote"/>
    <w:rsid w:val="00D04D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4D3A"/>
    <w:rPr>
      <w:sz w:val="2"/>
      <w:szCs w:val="2"/>
    </w:rPr>
  </w:style>
  <w:style w:type="character" w:customStyle="1" w:styleId="Small">
    <w:name w:val="Small"/>
    <w:basedOn w:val="DefaultParagraphFont"/>
    <w:rsid w:val="00D04D3A"/>
    <w:rPr>
      <w:sz w:val="16"/>
    </w:rPr>
  </w:style>
  <w:style w:type="paragraph" w:customStyle="1" w:styleId="WideTable">
    <w:name w:val="Wide Table"/>
    <w:basedOn w:val="Normal"/>
    <w:rsid w:val="00D04D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4D3A"/>
  </w:style>
  <w:style w:type="paragraph" w:styleId="Quote">
    <w:name w:val="Quote"/>
    <w:basedOn w:val="Heading1"/>
    <w:link w:val="QuoteChar"/>
    <w:qFormat/>
    <w:rsid w:val="00D04D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4D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4D3A"/>
    <w:pPr>
      <w:pageBreakBefore/>
    </w:pPr>
  </w:style>
  <w:style w:type="paragraph" w:customStyle="1" w:styleId="Border">
    <w:name w:val="Border"/>
    <w:basedOn w:val="Normal"/>
    <w:qFormat/>
    <w:rsid w:val="00D04D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4D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4D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4D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4D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4D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4D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4D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4D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4D3A"/>
    <w:rPr>
      <w:u w:val="single"/>
    </w:rPr>
  </w:style>
  <w:style w:type="character" w:customStyle="1" w:styleId="BoldandItalics">
    <w:name w:val="Bold and Italics"/>
    <w:qFormat/>
    <w:rsid w:val="00D04D3A"/>
    <w:rPr>
      <w:b/>
      <w:i/>
      <w:u w:val="none"/>
    </w:rPr>
  </w:style>
  <w:style w:type="paragraph" w:styleId="BalloonText">
    <w:name w:val="Balloon Text"/>
    <w:basedOn w:val="Normal"/>
    <w:link w:val="BalloonTextChar"/>
    <w:rsid w:val="00D04D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4D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4D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4D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4D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4D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4D3A"/>
    <w:pPr>
      <w:spacing w:before="0" w:after="0"/>
    </w:pPr>
  </w:style>
  <w:style w:type="paragraph" w:customStyle="1" w:styleId="BodyTextBold">
    <w:name w:val="Body Text Bold"/>
    <w:basedOn w:val="BodyText"/>
    <w:qFormat/>
    <w:rsid w:val="00D04D3A"/>
    <w:rPr>
      <w:b/>
    </w:rPr>
  </w:style>
  <w:style w:type="character" w:styleId="Hyperlink">
    <w:name w:val="Hyperlink"/>
    <w:basedOn w:val="DefaultParagraphFont"/>
    <w:uiPriority w:val="99"/>
    <w:unhideWhenUsed/>
    <w:rsid w:val="00B221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350</Words>
  <Characters>2471</Characters>
  <Application>Microsoft Office Word</Application>
  <DocSecurity>0</DocSecurity>
  <Lines>72</Lines>
  <Paragraphs>57</Paragraphs>
  <ScaleCrop>false</ScaleCrop>
  <Company>Author-it Software Corporation Ltd.</Company>
  <LinksUpToDate>false</LinksUpToDate>
  <CharactersWithSpaces>2764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FNSPRT401 Administer an intestate estate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2021-02-12T08:26:00Z</dcterms:created>
  <dcterms:modified xsi:type="dcterms:W3CDTF">2021-02-12T08:26:00Z</dcterms:modified>
</cp:coreProperties>
</file>