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66BB" w:rsidP="00AC66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FNSPRT302 Administer a non-complex estate</w:t>
      </w:r>
      <w:r>
        <w:fldChar w:fldCharType="end"/>
      </w:r>
    </w:p>
    <w:p w:rsidR="00AC66BB" w:rsidP="00AC66BB">
      <w:pPr>
        <w:pStyle w:val="Version"/>
        <w:sectPr w:rsidSect="009B6E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B6E22" w:rsidP="009B6E22">
      <w:pPr>
        <w:pStyle w:val="SuperHeading"/>
      </w:pPr>
      <w:r w:rsidRPr="009B6E22">
        <w:t>Assessment Requirements for FNSPRT302 Administer a non-complex estate</w:t>
      </w:r>
    </w:p>
    <w:p w:rsidR="00000000" w:rsidRPr="009B6E22" w:rsidP="009B6E22">
      <w:pPr>
        <w:pStyle w:val="Heading1"/>
      </w:pPr>
      <w:bookmarkStart w:id="1" w:name="O_840923"/>
      <w:bookmarkEnd w:id="1"/>
      <w:r w:rsidRPr="009B6E2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B6E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E22" w:rsidP="009B6E22">
            <w:pPr>
              <w:pStyle w:val="BodyText"/>
            </w:pPr>
            <w:r w:rsidRPr="009B6E2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E22">
            <w:pPr>
              <w:pStyle w:val="BodyText"/>
              <w:rPr>
                <w:lang w:val="en-NZ"/>
              </w:rPr>
            </w:pPr>
            <w:r w:rsidRPr="009B6E22">
              <w:rPr>
                <w:rStyle w:val="SpecialBold"/>
              </w:rPr>
              <w:t>Comments</w:t>
            </w:r>
          </w:p>
        </w:tc>
      </w:tr>
      <w:tr w:rsidTr="009B6E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E22">
            <w:pPr>
              <w:pStyle w:val="BodyText"/>
              <w:rPr>
                <w:lang w:val="en-NZ"/>
              </w:rPr>
            </w:pPr>
            <w:r w:rsidRPr="009B6E22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E22">
            <w:pPr>
              <w:pStyle w:val="BodyText"/>
              <w:rPr>
                <w:lang w:val="en-NZ"/>
              </w:rPr>
            </w:pPr>
            <w:r w:rsidRPr="009B6E22">
              <w:t>This version released with FNS Financial Services Training Package Version 2.0. Rewritten, merged and clarified performance criteria.</w:t>
            </w:r>
          </w:p>
        </w:tc>
      </w:tr>
      <w:tr w:rsidTr="009B6E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E22">
            <w:pPr>
              <w:pStyle w:val="BodyText"/>
              <w:rPr>
                <w:lang w:val="en-NZ"/>
              </w:rPr>
            </w:pPr>
            <w:r w:rsidRPr="009B6E2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E22" w:rsidP="009B6E22">
            <w:pPr>
              <w:pStyle w:val="BodyText"/>
            </w:pPr>
            <w:r w:rsidRPr="009B6E22">
              <w:t>This version first released with FNS Financial Services Training Package Version 1.0. Updated to meet Standards</w:t>
            </w:r>
            <w:r w:rsidRPr="009B6E22">
              <w:t xml:space="preserve"> for Training Packages. Rewritten, merged and clarified performance criteria. </w:t>
            </w:r>
          </w:p>
        </w:tc>
      </w:tr>
    </w:tbl>
    <w:p w:rsidR="00000000" w:rsidRPr="009B6E22" w:rsidP="009B6E22">
      <w:pPr>
        <w:pStyle w:val="BodyText"/>
      </w:pPr>
    </w:p>
    <w:p w:rsidR="00000000" w:rsidRPr="009B6E22" w:rsidP="009B6E22">
      <w:pPr>
        <w:pStyle w:val="AllowPageBreak"/>
      </w:pPr>
    </w:p>
    <w:p w:rsidR="00000000" w:rsidRPr="009B6E22" w:rsidP="009B6E22">
      <w:pPr>
        <w:pStyle w:val="Heading1"/>
      </w:pPr>
      <w:bookmarkStart w:id="2" w:name="O_840922"/>
      <w:bookmarkEnd w:id="2"/>
      <w:r w:rsidRPr="009B6E22">
        <w:t>Performance Evidence</w:t>
      </w:r>
    </w:p>
    <w:p w:rsidR="00000000" w:rsidRPr="009B6E22" w:rsidP="00AC66BB">
      <w:pPr>
        <w:pStyle w:val="BodyText"/>
      </w:pPr>
      <w:r w:rsidRPr="009B6E22">
        <w:t>Evidence of the following must be provided:</w:t>
      </w:r>
    </w:p>
    <w:p w:rsidR="00000000" w:rsidRPr="009B6E22" w:rsidP="009B6E22">
      <w:pPr>
        <w:pStyle w:val="ListBullet"/>
      </w:pPr>
      <w:r w:rsidRPr="009B6E22">
        <w:t>conduct research to prove the will and confirm existence of estate</w:t>
      </w:r>
      <w:r>
        <w:t>’</w:t>
      </w:r>
      <w:r w:rsidRPr="009B6E22">
        <w:t>s assets, liabilities and</w:t>
      </w:r>
      <w:r w:rsidRPr="009B6E22">
        <w:t xml:space="preserve"> beneficiaries according to legislative and organisational requirements</w:t>
      </w:r>
    </w:p>
    <w:p w:rsidR="00000000" w:rsidRPr="009B6E22" w:rsidP="009B6E22">
      <w:pPr>
        <w:pStyle w:val="ListBullet"/>
      </w:pPr>
      <w:r w:rsidRPr="009B6E22">
        <w:t>locate beneficiaries and calculate their entitlements according to legislative and organisational requirements</w:t>
      </w:r>
    </w:p>
    <w:p w:rsidR="00000000" w:rsidRPr="009B6E22" w:rsidP="009B6E22">
      <w:pPr>
        <w:pStyle w:val="ListBullet"/>
      </w:pPr>
      <w:r w:rsidRPr="009B6E22">
        <w:t>prepare documentation to apply for administration of an estate</w:t>
      </w:r>
    </w:p>
    <w:p w:rsidR="00000000" w:rsidRPr="009B6E22" w:rsidP="009B6E22">
      <w:pPr>
        <w:pStyle w:val="ListBullet"/>
      </w:pPr>
      <w:r w:rsidRPr="009B6E22">
        <w:t>prepare financial and tax documentation for the administration of an estate.</w:t>
      </w:r>
    </w:p>
    <w:p w:rsidR="00000000" w:rsidRPr="009B6E22" w:rsidP="009B6E22">
      <w:pPr>
        <w:pStyle w:val="BodyText"/>
      </w:pPr>
    </w:p>
    <w:p w:rsidR="00000000" w:rsidRPr="009B6E22" w:rsidP="00AC66BB">
      <w:pPr>
        <w:pStyle w:val="BodyText"/>
      </w:pPr>
      <w:r w:rsidRPr="009B6E22">
        <w:t>Note: If a specific volume or frequency is not stated, then evidence must be provided at least once.</w:t>
      </w:r>
    </w:p>
    <w:p w:rsidR="00000000" w:rsidRPr="009B6E22" w:rsidP="009B6E22">
      <w:pPr>
        <w:pStyle w:val="Heading1"/>
      </w:pPr>
      <w:bookmarkStart w:id="3" w:name="O_840921"/>
      <w:bookmarkEnd w:id="3"/>
      <w:r w:rsidRPr="009B6E22">
        <w:t>Knowledge Evidence</w:t>
      </w:r>
    </w:p>
    <w:p w:rsidR="00000000" w:rsidRPr="009B6E22" w:rsidP="00AC66BB">
      <w:pPr>
        <w:pStyle w:val="BodyText"/>
      </w:pPr>
      <w:r w:rsidRPr="009B6E22">
        <w:t xml:space="preserve">To complete the unit requirements safely </w:t>
      </w:r>
      <w:r w:rsidRPr="009B6E22">
        <w:t>and effectively, the individual must:</w:t>
      </w:r>
    </w:p>
    <w:p w:rsidR="00000000" w:rsidRPr="009B6E22" w:rsidP="009B6E22">
      <w:pPr>
        <w:pStyle w:val="ListBullet"/>
      </w:pPr>
      <w:r w:rsidRPr="009B6E22">
        <w:t>describe the key legislative requirements of federal, state and territory legislation and regulations relating to:</w:t>
      </w:r>
    </w:p>
    <w:p w:rsidR="00000000" w:rsidRPr="009B6E22" w:rsidP="009B6E22">
      <w:pPr>
        <w:pStyle w:val="ListBullet2"/>
      </w:pPr>
      <w:r w:rsidRPr="009B6E22">
        <w:t>wills</w:t>
      </w:r>
    </w:p>
    <w:p w:rsidR="00000000" w:rsidRPr="009B6E22" w:rsidP="009B6E22">
      <w:pPr>
        <w:pStyle w:val="ListBullet2"/>
      </w:pPr>
      <w:r w:rsidRPr="009B6E22">
        <w:t>intestate succession</w:t>
      </w:r>
    </w:p>
    <w:p w:rsidR="00000000" w:rsidRPr="009B6E22" w:rsidP="009B6E22">
      <w:pPr>
        <w:pStyle w:val="ListBullet2"/>
      </w:pPr>
      <w:r w:rsidRPr="009B6E22">
        <w:t>probate and administration</w:t>
      </w:r>
    </w:p>
    <w:p w:rsidR="00000000" w:rsidRPr="009B6E22" w:rsidP="009B6E22">
      <w:pPr>
        <w:pStyle w:val="ListBullet2"/>
      </w:pPr>
      <w:r w:rsidRPr="009B6E22">
        <w:t>trusteeships including investment obligations o</w:t>
      </w:r>
      <w:r w:rsidRPr="009B6E22">
        <w:t>f the trustees</w:t>
      </w:r>
    </w:p>
    <w:p w:rsidR="00000000" w:rsidRPr="009B6E22" w:rsidP="009B6E22">
      <w:pPr>
        <w:pStyle w:val="ListBullet2"/>
      </w:pPr>
      <w:r w:rsidRPr="009B6E22">
        <w:t>preparing an application for administration</w:t>
      </w:r>
    </w:p>
    <w:p w:rsidR="00000000" w:rsidRPr="009B6E22" w:rsidP="009B6E22">
      <w:pPr>
        <w:pStyle w:val="ListBullet2"/>
      </w:pPr>
      <w:r w:rsidRPr="009B6E22">
        <w:t>taxation and tax obligations as they relate to the administration of estates and trusts</w:t>
      </w:r>
    </w:p>
    <w:p w:rsidR="00000000" w:rsidRPr="009B6E22" w:rsidP="009B6E22">
      <w:pPr>
        <w:pStyle w:val="ListBullet"/>
      </w:pPr>
      <w:r w:rsidRPr="009B6E22">
        <w:t>outline the role, responsibilities and authority of an executor</w:t>
      </w:r>
    </w:p>
    <w:p w:rsidR="00000000" w:rsidRPr="009B6E22" w:rsidP="009B6E22">
      <w:pPr>
        <w:pStyle w:val="ListBullet"/>
      </w:pPr>
      <w:r w:rsidRPr="009B6E22">
        <w:t>describe the processes required to prove a will and to administer the estate</w:t>
      </w:r>
    </w:p>
    <w:p w:rsidR="00000000" w:rsidRPr="009B6E22" w:rsidP="009B6E22">
      <w:pPr>
        <w:pStyle w:val="ListBullet"/>
      </w:pPr>
      <w:r w:rsidRPr="009B6E22">
        <w:t>identify complex estate issues including:</w:t>
      </w:r>
    </w:p>
    <w:p w:rsidR="00000000" w:rsidRPr="009B6E22" w:rsidP="009B6E22">
      <w:pPr>
        <w:pStyle w:val="ListBullet2"/>
      </w:pPr>
      <w:r w:rsidRPr="009B6E22">
        <w:t>conflict between beneficiaries</w:t>
      </w:r>
    </w:p>
    <w:p w:rsidR="00000000" w:rsidRPr="009B6E22" w:rsidP="009B6E22">
      <w:pPr>
        <w:pStyle w:val="ListBullet2"/>
      </w:pPr>
      <w:r w:rsidRPr="009B6E22">
        <w:t>capital gains tax</w:t>
      </w:r>
    </w:p>
    <w:p w:rsidR="00000000" w:rsidRPr="009B6E22" w:rsidP="009B6E22">
      <w:pPr>
        <w:pStyle w:val="ListBullet2"/>
      </w:pPr>
      <w:r w:rsidRPr="009B6E22">
        <w:t>complex assets due to volume, physical location and type</w:t>
      </w:r>
    </w:p>
    <w:p w:rsidR="00000000" w:rsidRPr="009B6E22" w:rsidP="009B6E22">
      <w:pPr>
        <w:pStyle w:val="ListBullet2"/>
      </w:pPr>
      <w:r w:rsidRPr="009B6E22">
        <w:t>complex beneficiaries due to v</w:t>
      </w:r>
      <w:r w:rsidRPr="009B6E22">
        <w:t>olume, physical location and potential bankrupt status and other vulnerabilities</w:t>
      </w:r>
    </w:p>
    <w:p w:rsidR="00000000" w:rsidRPr="009B6E22" w:rsidP="009B6E22">
      <w:pPr>
        <w:pStyle w:val="ListBullet"/>
      </w:pPr>
      <w:r w:rsidRPr="009B6E22">
        <w:t xml:space="preserve">outline the professional code of conduct, where applicable, in the personal trustee sector </w:t>
      </w:r>
    </w:p>
    <w:p w:rsidR="00000000" w:rsidRPr="009B6E22" w:rsidP="009B6E22">
      <w:pPr>
        <w:pStyle w:val="ListBullet"/>
      </w:pPr>
      <w:r w:rsidRPr="009B6E22">
        <w:t>describe organisational policies and procedures relevant to administering a non-co</w:t>
      </w:r>
      <w:r w:rsidRPr="009B6E22">
        <w:t>mplex estate</w:t>
      </w:r>
    </w:p>
    <w:p w:rsidR="00000000" w:rsidRPr="009B6E22" w:rsidP="009B6E22">
      <w:pPr>
        <w:pStyle w:val="ListBullet"/>
      </w:pPr>
      <w:r w:rsidRPr="009B6E22">
        <w:t>outline products and services offered by personal trustee organisations and fees and charges that apply</w:t>
      </w:r>
    </w:p>
    <w:p w:rsidR="00000000" w:rsidRPr="009B6E22" w:rsidP="009B6E22">
      <w:pPr>
        <w:pStyle w:val="ListBullet"/>
      </w:pPr>
      <w:r w:rsidRPr="009B6E22">
        <w:t>outline the role, responsibilities and powers of the personal trust officer including limitation of giving investment advice</w:t>
      </w:r>
    </w:p>
    <w:p w:rsidR="00000000" w:rsidRPr="009B6E22" w:rsidP="009B6E22">
      <w:pPr>
        <w:pStyle w:val="ListBullet"/>
      </w:pPr>
      <w:r w:rsidRPr="009B6E22">
        <w:t>identify the r</w:t>
      </w:r>
      <w:r w:rsidRPr="009B6E22">
        <w:t>ole of, and how and when to contact, internal or external specialists relating to the personal trustee sector</w:t>
      </w:r>
    </w:p>
    <w:p w:rsidR="00000000" w:rsidRPr="009B6E22" w:rsidP="009B6E22">
      <w:pPr>
        <w:pStyle w:val="ListBullet"/>
      </w:pPr>
      <w:r w:rsidRPr="009B6E22">
        <w:t>establish potential estate liabilities including:</w:t>
      </w:r>
    </w:p>
    <w:p w:rsidR="00000000" w:rsidRPr="009B6E22" w:rsidP="009B6E22">
      <w:pPr>
        <w:pStyle w:val="ListBullet2"/>
      </w:pPr>
      <w:r w:rsidRPr="009B6E22">
        <w:t>claims on the estate</w:t>
      </w:r>
    </w:p>
    <w:p w:rsidR="00000000" w:rsidRPr="009B6E22" w:rsidP="009B6E22">
      <w:pPr>
        <w:pStyle w:val="ListBullet2"/>
      </w:pPr>
      <w:r w:rsidRPr="009B6E22">
        <w:t>fees and charges and other administration expenses</w:t>
      </w:r>
    </w:p>
    <w:p w:rsidR="00000000" w:rsidRPr="009B6E22" w:rsidP="009B6E22">
      <w:pPr>
        <w:pStyle w:val="ListBullet2"/>
      </w:pPr>
      <w:r w:rsidRPr="009B6E22">
        <w:t>debts of the deceased</w:t>
      </w:r>
    </w:p>
    <w:p w:rsidR="00000000" w:rsidRPr="009B6E22" w:rsidP="009B6E22">
      <w:pPr>
        <w:pStyle w:val="ListBullet2"/>
      </w:pPr>
      <w:r w:rsidRPr="009B6E22">
        <w:t>final tax return obligations of the deceased.</w:t>
      </w:r>
    </w:p>
    <w:p w:rsidR="00000000" w:rsidRPr="009B6E22" w:rsidP="009B6E22">
      <w:pPr>
        <w:pStyle w:val="AllowPageBreak"/>
      </w:pPr>
    </w:p>
    <w:p w:rsidR="00000000" w:rsidRPr="009B6E22" w:rsidP="009B6E22">
      <w:pPr>
        <w:pStyle w:val="Heading1"/>
      </w:pPr>
      <w:bookmarkStart w:id="4" w:name="O_840920"/>
      <w:bookmarkEnd w:id="4"/>
      <w:r w:rsidRPr="009B6E22">
        <w:t>Assessment Conditions</w:t>
      </w:r>
    </w:p>
    <w:p w:rsidR="00000000" w:rsidRPr="009B6E22" w:rsidP="00AC66BB">
      <w:pPr>
        <w:pStyle w:val="BodyText"/>
      </w:pPr>
      <w:r w:rsidRPr="009B6E22">
        <w:t>Assessment must be conducted in a safe environment where evidence gathered demonstrates consistent performance of typical activities experienced in the personal trustee fi</w:t>
      </w:r>
      <w:r w:rsidRPr="009B6E22">
        <w:t>eld of work and include access to:</w:t>
      </w:r>
    </w:p>
    <w:p w:rsidR="00000000" w:rsidRPr="009B6E22" w:rsidP="009B6E22">
      <w:pPr>
        <w:pStyle w:val="ListBullet"/>
      </w:pPr>
      <w:r w:rsidRPr="009B6E22">
        <w:t>common office equipment, technology, software and consumables</w:t>
      </w:r>
    </w:p>
    <w:p w:rsidR="00000000" w:rsidRPr="009B6E22" w:rsidP="009B6E22">
      <w:pPr>
        <w:pStyle w:val="ListBullet"/>
      </w:pPr>
      <w:r w:rsidRPr="009B6E22">
        <w:t>appropriate legislation and regulations relevant to administering an estate</w:t>
      </w:r>
    </w:p>
    <w:p w:rsidR="00000000" w:rsidRPr="009B6E22" w:rsidP="009B6E22">
      <w:pPr>
        <w:pStyle w:val="ListBullet"/>
      </w:pPr>
      <w:r w:rsidRPr="009B6E22">
        <w:t>organisational reference materials such as policies, procedures, manuals and check</w:t>
      </w:r>
      <w:r w:rsidRPr="009B6E22">
        <w:t>lists</w:t>
      </w:r>
    </w:p>
    <w:p w:rsidR="00000000" w:rsidRPr="009B6E22" w:rsidP="009B6E22">
      <w:pPr>
        <w:pStyle w:val="ListBullet"/>
      </w:pPr>
      <w:r w:rsidRPr="009B6E22">
        <w:t>the internet for searches.</w:t>
      </w:r>
    </w:p>
    <w:p w:rsidR="00000000" w:rsidRPr="009B6E22" w:rsidP="009B6E22">
      <w:pPr>
        <w:pStyle w:val="BodyText"/>
      </w:pPr>
    </w:p>
    <w:p w:rsidR="00000000" w:rsidRPr="009B6E22" w:rsidP="00AC66BB">
      <w:pPr>
        <w:pStyle w:val="BodyText"/>
      </w:pPr>
      <w:r w:rsidRPr="009B6E22">
        <w:t>Assessors of this unit must satisfy the requirements for assessors in applicable vocational education and training legislation, frameworks and/or standards.</w:t>
      </w:r>
    </w:p>
    <w:p w:rsidR="00000000" w:rsidRPr="009B6E22" w:rsidP="009B6E22">
      <w:pPr>
        <w:pStyle w:val="Heading1"/>
      </w:pPr>
      <w:bookmarkStart w:id="5" w:name="O_840932"/>
      <w:bookmarkEnd w:id="5"/>
      <w:r w:rsidRPr="009B6E22">
        <w:t>Links</w:t>
      </w:r>
    </w:p>
    <w:p w:rsidR="00000000" w:rsidRPr="009B6E22" w:rsidP="00AC66BB">
      <w:pPr>
        <w:pStyle w:val="BodyText"/>
      </w:pPr>
      <w:r w:rsidRPr="009B6E22">
        <w:t>Companion Volume implementati</w:t>
      </w:r>
      <w:r w:rsidRPr="009B6E22">
        <w:t xml:space="preserve">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5147D1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9B6E22" w:rsidP="009B6E22"/>
    <w:sectPr w:rsidSect="009B6E2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E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E22" w:rsidRPr="00AC66BB" w:rsidP="00AC66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E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6BB" w:rsidP="009B6E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C66BB" w:rsidP="009B6E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C66BB" w:rsidP="009B6E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E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6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6E22" w:rsidRPr="00AC66BB" w:rsidP="00AC66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E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6BB" w:rsidRPr="002D2AF8" w:rsidP="009B6E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FNSPRT302 Administer a non-complex estate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AC66BB" w:rsidP="009B6E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B36DF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AB664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4B6C6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6E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6E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6E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6E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6E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6E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6E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6E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6E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6E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6E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6E22"/>
  </w:style>
  <w:style w:type="character" w:customStyle="1" w:styleId="Heading1Char">
    <w:name w:val="Heading 1 Char"/>
    <w:basedOn w:val="DefaultParagraphFont"/>
    <w:link w:val="Heading1"/>
    <w:rsid w:val="009B6E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6E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6E2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6E2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B6E22"/>
    <w:rPr>
      <w:b/>
      <w:spacing w:val="0"/>
    </w:rPr>
  </w:style>
  <w:style w:type="paragraph" w:styleId="ListBullet2">
    <w:name w:val="List Bullet 2"/>
    <w:basedOn w:val="List2"/>
    <w:rsid w:val="009B6E2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B6E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6E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B6E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6E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6E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6E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6E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6E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6E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6E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6E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6E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6E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6E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6E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6E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6E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6E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6E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6E2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6E2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6E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B6E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6E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6E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B6E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6E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6E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6E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6E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6E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6E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6E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6E2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B6E22"/>
    <w:rPr>
      <w:i/>
    </w:rPr>
  </w:style>
  <w:style w:type="paragraph" w:styleId="Caption">
    <w:name w:val="caption"/>
    <w:basedOn w:val="BodyText"/>
    <w:next w:val="Normal"/>
    <w:qFormat/>
    <w:rsid w:val="009B6E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6E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6E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6E22"/>
  </w:style>
  <w:style w:type="paragraph" w:styleId="TableofFigures">
    <w:name w:val="table of figures"/>
    <w:basedOn w:val="Normal"/>
    <w:next w:val="Normal"/>
    <w:semiHidden/>
    <w:rsid w:val="009B6E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6E2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B6E22"/>
    <w:rPr>
      <w:rFonts w:ascii="Wingdings" w:hAnsi="Wingdings"/>
    </w:rPr>
  </w:style>
  <w:style w:type="paragraph" w:customStyle="1" w:styleId="TableHeading">
    <w:name w:val="Table Heading"/>
    <w:basedOn w:val="HeadingBase"/>
    <w:rsid w:val="009B6E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6E22"/>
    <w:rPr>
      <w:color w:val="0033CC"/>
      <w:u w:val="none"/>
    </w:rPr>
  </w:style>
  <w:style w:type="paragraph" w:customStyle="1" w:styleId="BodyTextRight">
    <w:name w:val="Body Text Right"/>
    <w:basedOn w:val="BodyText"/>
    <w:rsid w:val="009B6E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6E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6E2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6E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6E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6E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6E22"/>
    <w:rPr>
      <w:sz w:val="32"/>
    </w:rPr>
  </w:style>
  <w:style w:type="paragraph" w:customStyle="1" w:styleId="HeadingProcedure">
    <w:name w:val="Heading Procedure"/>
    <w:basedOn w:val="HeadingBase"/>
    <w:next w:val="Normal"/>
    <w:rsid w:val="009B6E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6E22"/>
    <w:pPr>
      <w:spacing w:before="60" w:after="60"/>
    </w:pPr>
  </w:style>
  <w:style w:type="paragraph" w:styleId="ListContinue">
    <w:name w:val="List Continue"/>
    <w:basedOn w:val="List"/>
    <w:rsid w:val="009B6E22"/>
    <w:pPr>
      <w:ind w:firstLine="0"/>
    </w:pPr>
  </w:style>
  <w:style w:type="paragraph" w:customStyle="1" w:styleId="ListNote">
    <w:name w:val="List Note"/>
    <w:basedOn w:val="List"/>
    <w:rsid w:val="009B6E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6E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6E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6E22"/>
    <w:rPr>
      <w:rFonts w:ascii="Courier New" w:hAnsi="Courier New"/>
    </w:rPr>
  </w:style>
  <w:style w:type="paragraph" w:customStyle="1" w:styleId="NoteBullet">
    <w:name w:val="Note Bullet"/>
    <w:basedOn w:val="Note"/>
    <w:rsid w:val="009B6E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6E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6E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6E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6E2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B6E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6E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6E22"/>
    <w:rPr>
      <w:b/>
      <w:smallCaps/>
    </w:rPr>
  </w:style>
  <w:style w:type="paragraph" w:customStyle="1" w:styleId="TableListNumber">
    <w:name w:val="Table List Number"/>
    <w:basedOn w:val="ListNumber"/>
    <w:rsid w:val="009B6E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6E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6E22"/>
    <w:pPr>
      <w:numPr>
        <w:numId w:val="9"/>
      </w:numPr>
    </w:pPr>
  </w:style>
  <w:style w:type="paragraph" w:customStyle="1" w:styleId="ListAlpha2">
    <w:name w:val="List Alpha 2"/>
    <w:basedOn w:val="List2"/>
    <w:rsid w:val="009B6E22"/>
    <w:pPr>
      <w:numPr>
        <w:numId w:val="8"/>
      </w:numPr>
    </w:pPr>
  </w:style>
  <w:style w:type="paragraph" w:styleId="List2">
    <w:name w:val="List 2"/>
    <w:basedOn w:val="BodyText"/>
    <w:rsid w:val="009B6E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6E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6E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6E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6E2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6E2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B6E22"/>
    <w:pPr>
      <w:numPr>
        <w:numId w:val="4"/>
      </w:numPr>
    </w:pPr>
  </w:style>
  <w:style w:type="paragraph" w:styleId="ListContinue2">
    <w:name w:val="List Continue 2"/>
    <w:basedOn w:val="List2"/>
    <w:rsid w:val="009B6E22"/>
    <w:pPr>
      <w:ind w:firstLine="0"/>
    </w:pPr>
  </w:style>
  <w:style w:type="paragraph" w:styleId="ListContinue3">
    <w:name w:val="List Continue 3"/>
    <w:basedOn w:val="List3"/>
    <w:rsid w:val="009B6E22"/>
    <w:pPr>
      <w:ind w:left="1021" w:firstLine="0"/>
    </w:pPr>
  </w:style>
  <w:style w:type="paragraph" w:styleId="ListContinue4">
    <w:name w:val="List Continue 4"/>
    <w:basedOn w:val="List4"/>
    <w:rsid w:val="009B6E22"/>
    <w:pPr>
      <w:ind w:firstLine="0"/>
    </w:pPr>
  </w:style>
  <w:style w:type="paragraph" w:styleId="ListContinue5">
    <w:name w:val="List Continue 5"/>
    <w:basedOn w:val="List5"/>
    <w:rsid w:val="009B6E22"/>
    <w:pPr>
      <w:ind w:firstLine="0"/>
    </w:pPr>
  </w:style>
  <w:style w:type="paragraph" w:styleId="ListNumber3">
    <w:name w:val="List Number 3"/>
    <w:basedOn w:val="List3"/>
    <w:rsid w:val="009B6E22"/>
    <w:pPr>
      <w:numPr>
        <w:numId w:val="5"/>
      </w:numPr>
    </w:pPr>
  </w:style>
  <w:style w:type="paragraph" w:styleId="ListNumber4">
    <w:name w:val="List Number 4"/>
    <w:basedOn w:val="List4"/>
    <w:rsid w:val="009B6E22"/>
    <w:pPr>
      <w:numPr>
        <w:numId w:val="6"/>
      </w:numPr>
    </w:pPr>
  </w:style>
  <w:style w:type="paragraph" w:styleId="ListNumber5">
    <w:name w:val="List Number 5"/>
    <w:basedOn w:val="List5"/>
    <w:rsid w:val="009B6E22"/>
    <w:pPr>
      <w:numPr>
        <w:numId w:val="7"/>
      </w:numPr>
    </w:pPr>
  </w:style>
  <w:style w:type="paragraph" w:styleId="BlockText">
    <w:name w:val="Block Text"/>
    <w:basedOn w:val="Normal"/>
    <w:rsid w:val="009B6E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6E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6E22"/>
    <w:rPr>
      <w:sz w:val="16"/>
      <w:vertAlign w:val="superscript"/>
    </w:rPr>
  </w:style>
  <w:style w:type="character" w:customStyle="1" w:styleId="Symbols">
    <w:name w:val="Symbols"/>
    <w:basedOn w:val="DefaultParagraphFont"/>
    <w:rsid w:val="009B6E22"/>
    <w:rPr>
      <w:rFonts w:ascii="Symbol" w:hAnsi="Symbol"/>
    </w:rPr>
  </w:style>
  <w:style w:type="character" w:customStyle="1" w:styleId="MenuOptions">
    <w:name w:val="Menu Options"/>
    <w:basedOn w:val="DefaultParagraphFont"/>
    <w:rsid w:val="009B6E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6E22"/>
    <w:rPr>
      <w:b/>
    </w:rPr>
  </w:style>
  <w:style w:type="character" w:customStyle="1" w:styleId="Underlined">
    <w:name w:val="Underlined"/>
    <w:basedOn w:val="DefaultParagraphFont"/>
    <w:rsid w:val="009B6E22"/>
    <w:rPr>
      <w:u w:val="single"/>
    </w:rPr>
  </w:style>
  <w:style w:type="paragraph" w:customStyle="1" w:styleId="TableBodyTextRight">
    <w:name w:val="Table Body Text Right"/>
    <w:basedOn w:val="TableBodyText"/>
    <w:rsid w:val="009B6E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6E22"/>
    <w:rPr>
      <w:sz w:val="18"/>
    </w:rPr>
  </w:style>
  <w:style w:type="paragraph" w:customStyle="1" w:styleId="BodySmallRight">
    <w:name w:val="Body Small Right"/>
    <w:basedOn w:val="BodyTextRight"/>
    <w:rsid w:val="009B6E22"/>
    <w:rPr>
      <w:sz w:val="18"/>
      <w:szCs w:val="18"/>
    </w:rPr>
  </w:style>
  <w:style w:type="paragraph" w:customStyle="1" w:styleId="MarginEdition">
    <w:name w:val="Margin Edition"/>
    <w:basedOn w:val="MarginNote"/>
    <w:rsid w:val="009B6E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6E22"/>
    <w:rPr>
      <w:sz w:val="2"/>
      <w:szCs w:val="2"/>
    </w:rPr>
  </w:style>
  <w:style w:type="character" w:customStyle="1" w:styleId="Small">
    <w:name w:val="Small"/>
    <w:basedOn w:val="DefaultParagraphFont"/>
    <w:rsid w:val="009B6E22"/>
    <w:rPr>
      <w:sz w:val="16"/>
    </w:rPr>
  </w:style>
  <w:style w:type="paragraph" w:customStyle="1" w:styleId="WideTable">
    <w:name w:val="Wide Table"/>
    <w:basedOn w:val="Normal"/>
    <w:rsid w:val="009B6E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6E22"/>
  </w:style>
  <w:style w:type="paragraph" w:styleId="Quote">
    <w:name w:val="Quote"/>
    <w:basedOn w:val="Heading1"/>
    <w:link w:val="QuoteChar"/>
    <w:qFormat/>
    <w:rsid w:val="009B6E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6E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6E22"/>
    <w:pPr>
      <w:pageBreakBefore/>
    </w:pPr>
  </w:style>
  <w:style w:type="paragraph" w:customStyle="1" w:styleId="Border">
    <w:name w:val="Border"/>
    <w:basedOn w:val="Normal"/>
    <w:qFormat/>
    <w:rsid w:val="009B6E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6E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6E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6E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6E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6E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6E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6E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6E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6E22"/>
    <w:rPr>
      <w:u w:val="single"/>
    </w:rPr>
  </w:style>
  <w:style w:type="character" w:customStyle="1" w:styleId="BoldandItalics">
    <w:name w:val="Bold and Italics"/>
    <w:qFormat/>
    <w:rsid w:val="009B6E22"/>
    <w:rPr>
      <w:b/>
      <w:i/>
      <w:u w:val="none"/>
    </w:rPr>
  </w:style>
  <w:style w:type="paragraph" w:styleId="BalloonText">
    <w:name w:val="Balloon Text"/>
    <w:basedOn w:val="Normal"/>
    <w:link w:val="BalloonTextChar"/>
    <w:rsid w:val="009B6E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6E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6E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6E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6E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6E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6E22"/>
    <w:pPr>
      <w:spacing w:before="0" w:after="0"/>
    </w:pPr>
  </w:style>
  <w:style w:type="paragraph" w:customStyle="1" w:styleId="BodyTextBold">
    <w:name w:val="Body Text Bold"/>
    <w:basedOn w:val="BodyText"/>
    <w:qFormat/>
    <w:rsid w:val="009B6E22"/>
    <w:rPr>
      <w:b/>
    </w:rPr>
  </w:style>
  <w:style w:type="character" w:styleId="Hyperlink">
    <w:name w:val="Hyperlink"/>
    <w:basedOn w:val="DefaultParagraphFont"/>
    <w:uiPriority w:val="99"/>
    <w:unhideWhenUsed/>
    <w:rsid w:val="00AC66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479</Words>
  <Characters>3195</Characters>
  <Application>Microsoft Office Word</Application>
  <DocSecurity>0</DocSecurity>
  <Lines>84</Lines>
  <Paragraphs>62</Paragraphs>
  <ScaleCrop>false</ScaleCrop>
  <Company>Author-it Software Corporation Ltd.</Company>
  <LinksUpToDate>false</LinksUpToDate>
  <CharactersWithSpaces>3612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FNSPRT302 Administer a non-complex estate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2022-01-27T02:13:00Z</dcterms:created>
  <dcterms:modified xsi:type="dcterms:W3CDTF">2022-01-27T02:13:00Z</dcterms:modified>
</cp:coreProperties>
</file>