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3E2" w:rsidP="002E4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FNSPIM517 Manage complex return to work cases</w:t>
      </w:r>
      <w:r>
        <w:fldChar w:fldCharType="end"/>
      </w:r>
    </w:p>
    <w:p w:rsidR="002E43E2" w:rsidP="002E43E2">
      <w:pPr>
        <w:pStyle w:val="Version"/>
        <w:sectPr w:rsidSect="00E91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DB6" w:rsidP="00E91DB6">
      <w:pPr>
        <w:pStyle w:val="SuperHeading"/>
      </w:pPr>
      <w:r w:rsidRPr="00E91DB6">
        <w:t>Assessment Requirements for FNSPIM517 Manage complex return to work cases</w:t>
      </w:r>
    </w:p>
    <w:p w:rsidR="00000000" w:rsidRPr="00E91DB6" w:rsidP="00E91DB6">
      <w:pPr>
        <w:pStyle w:val="Heading1"/>
      </w:pPr>
      <w:bookmarkStart w:id="1" w:name="O_1158457"/>
      <w:bookmarkEnd w:id="1"/>
      <w:r w:rsidRPr="00E91DB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1D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B6" w:rsidP="00E91DB6">
            <w:pPr>
              <w:pStyle w:val="BodyText"/>
            </w:pPr>
            <w:r w:rsidRPr="00E91DB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B6">
            <w:pPr>
              <w:pStyle w:val="BodyText"/>
              <w:rPr>
                <w:lang w:val="en-NZ"/>
              </w:rPr>
            </w:pPr>
            <w:r w:rsidRPr="00E91DB6">
              <w:rPr>
                <w:rStyle w:val="SpecialBold"/>
              </w:rPr>
              <w:t>Comments</w:t>
            </w:r>
          </w:p>
        </w:tc>
      </w:tr>
      <w:tr w:rsidTr="00E91D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B6">
            <w:pPr>
              <w:pStyle w:val="BodyText"/>
              <w:rPr>
                <w:lang w:val="en-NZ"/>
              </w:rPr>
            </w:pPr>
            <w:r w:rsidRPr="00E91DB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B6" w:rsidP="00E91DB6">
            <w:pPr>
              <w:pStyle w:val="BodyText"/>
            </w:pPr>
            <w:r w:rsidRPr="00E91DB6">
              <w:t>This version first released with FNS Financial Services Training Package Version 6.0.</w:t>
            </w:r>
          </w:p>
        </w:tc>
      </w:tr>
    </w:tbl>
    <w:p w:rsidR="00000000" w:rsidRPr="00E91DB6" w:rsidP="00E91DB6">
      <w:pPr>
        <w:pStyle w:val="BodyText"/>
      </w:pPr>
    </w:p>
    <w:p w:rsidR="00000000" w:rsidRPr="00E91DB6" w:rsidP="00E91DB6">
      <w:pPr>
        <w:pStyle w:val="AllowPageBreak"/>
      </w:pPr>
    </w:p>
    <w:p w:rsidR="00000000" w:rsidRPr="00E91DB6" w:rsidP="00E91DB6">
      <w:pPr>
        <w:pStyle w:val="Heading1"/>
      </w:pPr>
      <w:bookmarkStart w:id="2" w:name="O_1158460"/>
      <w:bookmarkEnd w:id="2"/>
      <w:r w:rsidRPr="00E91DB6">
        <w:t>Performance Evidence</w:t>
      </w:r>
    </w:p>
    <w:p w:rsidR="00000000" w:rsidRPr="00E91DB6" w:rsidP="002E43E2">
      <w:pPr>
        <w:pStyle w:val="BodyText"/>
      </w:pPr>
      <w:r w:rsidRPr="00E91DB6">
        <w:t>The candidate must demonstrate the ability to complete the tasks outlined in the elements, performance criteria and foundation skills of this unit, including evidence of the ability to:</w:t>
      </w:r>
    </w:p>
    <w:p w:rsidR="00000000" w:rsidRPr="00E91DB6" w:rsidP="00E91DB6">
      <w:pPr>
        <w:pStyle w:val="ListBullet"/>
      </w:pPr>
      <w:r w:rsidRPr="00E91DB6">
        <w:t>manage at least three complex return to work (RT</w:t>
      </w:r>
      <w:r w:rsidRPr="00E91DB6">
        <w:t>W) cases.</w:t>
      </w:r>
    </w:p>
    <w:p w:rsidR="00000000" w:rsidRPr="00E91DB6" w:rsidP="00E91DB6">
      <w:pPr>
        <w:pStyle w:val="AllowPageBreak"/>
      </w:pPr>
    </w:p>
    <w:p w:rsidR="00000000" w:rsidRPr="00E91DB6" w:rsidP="00E91DB6">
      <w:pPr>
        <w:pStyle w:val="Heading1"/>
      </w:pPr>
      <w:bookmarkStart w:id="3" w:name="O_1158459"/>
      <w:bookmarkEnd w:id="3"/>
      <w:r w:rsidRPr="00E91DB6">
        <w:t>Knowledge Evidence</w:t>
      </w:r>
    </w:p>
    <w:p w:rsidR="00000000" w:rsidRPr="00E91DB6" w:rsidP="002E43E2">
      <w:pPr>
        <w:pStyle w:val="BodyText"/>
      </w:pPr>
      <w:r w:rsidRPr="00E91DB6">
        <w:t>The candidate must be able to demonstrate knowledge to complete the tasks outlined in the elements, performance criteria and foundation skills of this unit, including knowledge of:</w:t>
      </w:r>
    </w:p>
    <w:p w:rsidR="00000000" w:rsidRPr="00E91DB6" w:rsidP="00E91DB6">
      <w:pPr>
        <w:pStyle w:val="ListBullet"/>
      </w:pPr>
      <w:r w:rsidRPr="00E91DB6">
        <w:t>a range of conflict management and dispute resolution approaches appropriate for RTW management</w:t>
      </w:r>
    </w:p>
    <w:p w:rsidR="00000000" w:rsidRPr="00E91DB6" w:rsidP="00E91DB6">
      <w:pPr>
        <w:pStyle w:val="ListBullet"/>
      </w:pPr>
      <w:r w:rsidRPr="00E91DB6">
        <w:t>factors that can make an RTW case complex or difficult, including:</w:t>
      </w:r>
    </w:p>
    <w:p w:rsidR="00000000" w:rsidRPr="00E91DB6" w:rsidP="00E91DB6">
      <w:pPr>
        <w:pStyle w:val="ListBullet2"/>
      </w:pPr>
      <w:r w:rsidRPr="00E91DB6">
        <w:t>psychosocial risk factors, including low morale, poor job satisfaction, sense of unfair trea</w:t>
      </w:r>
      <w:r w:rsidRPr="00E91DB6">
        <w:t>tment or organisational injustice, power imbalances and client seniority</w:t>
      </w:r>
    </w:p>
    <w:p w:rsidR="00000000" w:rsidRPr="00E91DB6" w:rsidP="00E91DB6">
      <w:pPr>
        <w:pStyle w:val="ListBullet2"/>
      </w:pPr>
      <w:r w:rsidRPr="00E91DB6">
        <w:t>mental health issues, including depression</w:t>
      </w:r>
    </w:p>
    <w:p w:rsidR="00000000" w:rsidRPr="00E91DB6" w:rsidP="00E91DB6">
      <w:pPr>
        <w:pStyle w:val="ListBullet2"/>
      </w:pPr>
      <w:r w:rsidRPr="00E91DB6">
        <w:t>chronic physical illness</w:t>
      </w:r>
    </w:p>
    <w:p w:rsidR="00000000" w:rsidRPr="00E91DB6" w:rsidP="00E91DB6">
      <w:pPr>
        <w:pStyle w:val="ListBullet2"/>
      </w:pPr>
      <w:r w:rsidRPr="00E91DB6">
        <w:t>serious injury</w:t>
      </w:r>
    </w:p>
    <w:p w:rsidR="00000000" w:rsidRPr="00E91DB6" w:rsidP="00E91DB6">
      <w:pPr>
        <w:pStyle w:val="ListBullet2"/>
      </w:pPr>
      <w:r w:rsidRPr="00E91DB6">
        <w:t>stress and trauma</w:t>
      </w:r>
    </w:p>
    <w:p w:rsidR="00000000" w:rsidRPr="00E91DB6" w:rsidP="00E91DB6">
      <w:pPr>
        <w:pStyle w:val="ListBullet2"/>
      </w:pPr>
      <w:r w:rsidRPr="00E91DB6">
        <w:t xml:space="preserve">negative workplace relationships, including discrimination and low motivation </w:t>
      </w:r>
    </w:p>
    <w:p w:rsidR="00000000" w:rsidRPr="00E91DB6" w:rsidP="00E91DB6">
      <w:pPr>
        <w:pStyle w:val="ListBullet"/>
      </w:pPr>
      <w:r w:rsidRPr="00E91DB6">
        <w:t>fo</w:t>
      </w:r>
      <w:r w:rsidRPr="00E91DB6">
        <w:t>rmats for designing RTW plans</w:t>
      </w:r>
    </w:p>
    <w:p w:rsidR="00000000" w:rsidRPr="00E91DB6" w:rsidP="00E91DB6">
      <w:pPr>
        <w:pStyle w:val="ListBullet"/>
      </w:pPr>
      <w:r w:rsidRPr="00E91DB6">
        <w:t xml:space="preserve">health privacy principles to be complied with when dealing and communicating with stakeholders </w:t>
      </w:r>
    </w:p>
    <w:p w:rsidR="00000000" w:rsidRPr="00E91DB6" w:rsidP="00E91DB6">
      <w:pPr>
        <w:pStyle w:val="ListBullet"/>
      </w:pPr>
      <w:r w:rsidRPr="00E91DB6">
        <w:t>mainstream and specialist support provided for a range of complex issues, including mental health and serious injury</w:t>
      </w:r>
    </w:p>
    <w:p w:rsidR="00000000" w:rsidRPr="00E91DB6" w:rsidP="00E91DB6">
      <w:pPr>
        <w:pStyle w:val="ListBullet"/>
      </w:pPr>
      <w:r w:rsidRPr="00E91DB6">
        <w:t xml:space="preserve">key features </w:t>
      </w:r>
      <w:r w:rsidRPr="00E91DB6">
        <w:t>of organisational policies and procedures for accessing specialist support for injured persons</w:t>
      </w:r>
    </w:p>
    <w:p w:rsidR="00000000" w:rsidRPr="00E91DB6" w:rsidP="00E91DB6">
      <w:pPr>
        <w:pStyle w:val="ListBullet"/>
      </w:pPr>
      <w:r w:rsidRPr="00E91DB6">
        <w:t>roles of specialists and required authorities in developing RTW strategies</w:t>
      </w:r>
    </w:p>
    <w:p w:rsidR="00000000" w:rsidRPr="00E91DB6" w:rsidP="00E91DB6">
      <w:pPr>
        <w:pStyle w:val="ListBullet"/>
      </w:pPr>
      <w:r w:rsidRPr="00E91DB6">
        <w:t>impact of workplace culture and co-worker attitudes and perceptions on RTW programs fo</w:t>
      </w:r>
      <w:r w:rsidRPr="00E91DB6">
        <w:t>r injured persons</w:t>
      </w:r>
    </w:p>
    <w:p w:rsidR="00000000" w:rsidRPr="00E91DB6" w:rsidP="00E91DB6">
      <w:pPr>
        <w:pStyle w:val="ListBullet"/>
      </w:pPr>
      <w:r w:rsidRPr="00E91DB6">
        <w:t>situations where early interventions or changes to RTW management are required</w:t>
      </w:r>
    </w:p>
    <w:p w:rsidR="00000000" w:rsidRPr="00E91DB6" w:rsidP="00E91DB6">
      <w:pPr>
        <w:pStyle w:val="ListBullet"/>
      </w:pPr>
      <w:r w:rsidRPr="00E91DB6">
        <w:t>support strategies for particular issues and complexities, including mental health and serious injury</w:t>
      </w:r>
    </w:p>
    <w:p w:rsidR="00000000" w:rsidRPr="00E91DB6" w:rsidP="00E91DB6">
      <w:pPr>
        <w:pStyle w:val="ListBullet"/>
      </w:pPr>
      <w:r w:rsidRPr="00E91DB6">
        <w:t>types of duties, reasonable adjustments and areas of work for injured person</w:t>
      </w:r>
    </w:p>
    <w:p w:rsidR="00000000" w:rsidRPr="00E91DB6" w:rsidP="00E91DB6">
      <w:pPr>
        <w:pStyle w:val="ListBullet"/>
      </w:pPr>
      <w:r w:rsidRPr="00E91DB6">
        <w:t xml:space="preserve">types of early intervention strategies </w:t>
      </w:r>
    </w:p>
    <w:p w:rsidR="00000000" w:rsidRPr="00E91DB6" w:rsidP="00E91DB6">
      <w:pPr>
        <w:pStyle w:val="ListBullet"/>
      </w:pPr>
      <w:r w:rsidRPr="00E91DB6">
        <w:t>types of mechanisms within organisations to support injured persons.</w:t>
      </w:r>
    </w:p>
    <w:p w:rsidR="00000000" w:rsidRPr="00E91DB6" w:rsidP="00E91DB6">
      <w:pPr>
        <w:pStyle w:val="AllowPageBreak"/>
      </w:pPr>
    </w:p>
    <w:p w:rsidR="00000000" w:rsidRPr="00E91DB6" w:rsidP="00E91DB6">
      <w:pPr>
        <w:pStyle w:val="Heading1"/>
      </w:pPr>
      <w:bookmarkStart w:id="4" w:name="O_1158458"/>
      <w:bookmarkEnd w:id="4"/>
      <w:r w:rsidRPr="00E91DB6">
        <w:t>Assessment Conditions</w:t>
      </w:r>
    </w:p>
    <w:p w:rsidR="00000000" w:rsidRPr="00E91DB6" w:rsidP="002E43E2">
      <w:pPr>
        <w:pStyle w:val="BodyText"/>
      </w:pPr>
      <w:r w:rsidRPr="00E91DB6">
        <w:t>Skills in this unit must be d</w:t>
      </w:r>
      <w:r w:rsidRPr="00E91DB6">
        <w:t xml:space="preserve">emonstrated in a workplace or simulated environment where the conditions are typical of those in a working environment in this industry. </w:t>
      </w:r>
    </w:p>
    <w:p w:rsidR="00000000" w:rsidRPr="00E91DB6" w:rsidP="002E43E2">
      <w:pPr>
        <w:pStyle w:val="BodyText"/>
      </w:pPr>
      <w:r w:rsidRPr="00E91DB6">
        <w:t>This includes access to:</w:t>
      </w:r>
    </w:p>
    <w:p w:rsidR="00000000" w:rsidRPr="00E91DB6" w:rsidP="00E91DB6">
      <w:pPr>
        <w:pStyle w:val="ListBullet"/>
      </w:pPr>
      <w:r w:rsidRPr="00E91DB6">
        <w:t>complex RTW cases</w:t>
      </w:r>
    </w:p>
    <w:p w:rsidR="00000000" w:rsidRPr="00E91DB6" w:rsidP="00E91DB6">
      <w:pPr>
        <w:pStyle w:val="ListBullet"/>
      </w:pPr>
      <w:r w:rsidRPr="00E91DB6">
        <w:t>office equipment, technology, software and consumables</w:t>
      </w:r>
    </w:p>
    <w:p w:rsidR="00000000" w:rsidRPr="00E91DB6" w:rsidP="00E91DB6">
      <w:pPr>
        <w:pStyle w:val="ListBullet"/>
      </w:pPr>
      <w:r w:rsidRPr="00E91DB6">
        <w:t>organisational reco</w:t>
      </w:r>
      <w:r w:rsidRPr="00E91DB6">
        <w:t>rds, policies and procedures.</w:t>
      </w:r>
    </w:p>
    <w:p w:rsidR="00000000" w:rsidRPr="00E91DB6" w:rsidP="00E91DB6">
      <w:pPr>
        <w:pStyle w:val="List"/>
      </w:pPr>
    </w:p>
    <w:p w:rsidR="00000000" w:rsidRPr="00E91DB6" w:rsidP="002E43E2">
      <w:pPr>
        <w:pStyle w:val="BodyText"/>
      </w:pPr>
      <w:r w:rsidRPr="00E91DB6">
        <w:t>Assessors of this unit must satisfy the requirements for assessors in applicable vocational education and training legislation, frameworks and/or standards.</w:t>
      </w:r>
    </w:p>
    <w:p w:rsidR="00000000" w:rsidRPr="00E91DB6" w:rsidP="00E91DB6">
      <w:pPr>
        <w:pStyle w:val="Heading1"/>
      </w:pPr>
      <w:bookmarkStart w:id="5" w:name="O_1158456"/>
      <w:bookmarkEnd w:id="5"/>
      <w:r w:rsidRPr="00E91DB6">
        <w:t>Links</w:t>
      </w:r>
    </w:p>
    <w:p w:rsidR="00000000" w:rsidRPr="00E91DB6" w:rsidP="002E43E2">
      <w:pPr>
        <w:pStyle w:val="BodyText"/>
      </w:pPr>
      <w:r w:rsidRPr="00E91DB6">
        <w:t>Companion Volume Implementation Guide is fo</w:t>
      </w:r>
      <w:r w:rsidRPr="00E91DB6">
        <w:t xml:space="preserve">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8115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1DB6" w:rsidP="00E91DB6"/>
    <w:sectPr w:rsidSect="00E91D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B6" w:rsidRPr="002E43E2" w:rsidP="002E4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2" w:rsidP="00E91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43E2" w:rsidP="00E91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43E2" w:rsidP="00E91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DB6" w:rsidRPr="002E43E2" w:rsidP="002E4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2" w:rsidRPr="002D2AF8" w:rsidP="00E91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FNSPIM517 Manage complex return to work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E43E2" w:rsidP="00E91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E64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681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5AB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DB6"/>
  </w:style>
  <w:style w:type="character" w:customStyle="1" w:styleId="Heading1Char">
    <w:name w:val="Heading 1 Char"/>
    <w:basedOn w:val="DefaultParagraphFont"/>
    <w:link w:val="Heading1"/>
    <w:rsid w:val="00E91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D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1D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D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DB6"/>
    <w:rPr>
      <w:b/>
      <w:spacing w:val="0"/>
    </w:rPr>
  </w:style>
  <w:style w:type="paragraph" w:styleId="ListBullet2">
    <w:name w:val="List Bullet 2"/>
    <w:basedOn w:val="List2"/>
    <w:rsid w:val="00E91D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D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1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DB6"/>
    <w:rPr>
      <w:i/>
    </w:rPr>
  </w:style>
  <w:style w:type="paragraph" w:styleId="Caption">
    <w:name w:val="caption"/>
    <w:basedOn w:val="BodyText"/>
    <w:next w:val="Normal"/>
    <w:qFormat/>
    <w:rsid w:val="00E91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DB6"/>
  </w:style>
  <w:style w:type="paragraph" w:styleId="TableofFigures">
    <w:name w:val="table of figures"/>
    <w:basedOn w:val="Normal"/>
    <w:next w:val="Normal"/>
    <w:semiHidden/>
    <w:rsid w:val="00E91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D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DB6"/>
    <w:rPr>
      <w:rFonts w:ascii="Wingdings" w:hAnsi="Wingdings"/>
    </w:rPr>
  </w:style>
  <w:style w:type="paragraph" w:customStyle="1" w:styleId="TableHeading">
    <w:name w:val="Table Heading"/>
    <w:basedOn w:val="HeadingBase"/>
    <w:rsid w:val="00E91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DB6"/>
    <w:rPr>
      <w:color w:val="0033CC"/>
      <w:u w:val="none"/>
    </w:rPr>
  </w:style>
  <w:style w:type="paragraph" w:customStyle="1" w:styleId="BodyTextRight">
    <w:name w:val="Body Text Right"/>
    <w:basedOn w:val="BodyText"/>
    <w:rsid w:val="00E91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D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DB6"/>
    <w:rPr>
      <w:sz w:val="32"/>
    </w:rPr>
  </w:style>
  <w:style w:type="paragraph" w:customStyle="1" w:styleId="HeadingProcedure">
    <w:name w:val="Heading Procedure"/>
    <w:basedOn w:val="HeadingBase"/>
    <w:next w:val="Normal"/>
    <w:rsid w:val="00E91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DB6"/>
    <w:pPr>
      <w:spacing w:before="60" w:after="60"/>
    </w:pPr>
  </w:style>
  <w:style w:type="paragraph" w:styleId="ListContinue">
    <w:name w:val="List Continue"/>
    <w:basedOn w:val="List"/>
    <w:rsid w:val="00E91DB6"/>
    <w:pPr>
      <w:ind w:firstLine="0"/>
    </w:pPr>
  </w:style>
  <w:style w:type="paragraph" w:customStyle="1" w:styleId="ListNote">
    <w:name w:val="List Note"/>
    <w:basedOn w:val="List"/>
    <w:rsid w:val="00E91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DB6"/>
    <w:rPr>
      <w:rFonts w:ascii="Courier New" w:hAnsi="Courier New"/>
    </w:rPr>
  </w:style>
  <w:style w:type="paragraph" w:customStyle="1" w:styleId="NoteBullet">
    <w:name w:val="Note Bullet"/>
    <w:basedOn w:val="Note"/>
    <w:rsid w:val="00E91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D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DB6"/>
    <w:rPr>
      <w:b/>
      <w:smallCaps/>
    </w:rPr>
  </w:style>
  <w:style w:type="paragraph" w:customStyle="1" w:styleId="TableListNumber">
    <w:name w:val="Table List Number"/>
    <w:basedOn w:val="ListNumber"/>
    <w:rsid w:val="00E91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DB6"/>
    <w:pPr>
      <w:numPr>
        <w:numId w:val="9"/>
      </w:numPr>
    </w:pPr>
  </w:style>
  <w:style w:type="paragraph" w:customStyle="1" w:styleId="ListAlpha2">
    <w:name w:val="List Alpha 2"/>
    <w:basedOn w:val="List2"/>
    <w:rsid w:val="00E91DB6"/>
    <w:pPr>
      <w:numPr>
        <w:numId w:val="8"/>
      </w:numPr>
    </w:pPr>
  </w:style>
  <w:style w:type="paragraph" w:styleId="List2">
    <w:name w:val="List 2"/>
    <w:basedOn w:val="BodyText"/>
    <w:rsid w:val="00E91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D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D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DB6"/>
    <w:pPr>
      <w:numPr>
        <w:numId w:val="4"/>
      </w:numPr>
    </w:pPr>
  </w:style>
  <w:style w:type="paragraph" w:styleId="ListContinue2">
    <w:name w:val="List Continue 2"/>
    <w:basedOn w:val="List2"/>
    <w:rsid w:val="00E91DB6"/>
    <w:pPr>
      <w:ind w:firstLine="0"/>
    </w:pPr>
  </w:style>
  <w:style w:type="paragraph" w:styleId="ListContinue3">
    <w:name w:val="List Continue 3"/>
    <w:basedOn w:val="List3"/>
    <w:rsid w:val="00E91DB6"/>
    <w:pPr>
      <w:ind w:left="1021" w:firstLine="0"/>
    </w:pPr>
  </w:style>
  <w:style w:type="paragraph" w:styleId="ListContinue4">
    <w:name w:val="List Continue 4"/>
    <w:basedOn w:val="List4"/>
    <w:rsid w:val="00E91DB6"/>
    <w:pPr>
      <w:ind w:firstLine="0"/>
    </w:pPr>
  </w:style>
  <w:style w:type="paragraph" w:styleId="ListContinue5">
    <w:name w:val="List Continue 5"/>
    <w:basedOn w:val="List5"/>
    <w:rsid w:val="00E91DB6"/>
    <w:pPr>
      <w:ind w:firstLine="0"/>
    </w:pPr>
  </w:style>
  <w:style w:type="paragraph" w:styleId="ListNumber3">
    <w:name w:val="List Number 3"/>
    <w:basedOn w:val="List3"/>
    <w:rsid w:val="00E91DB6"/>
    <w:pPr>
      <w:numPr>
        <w:numId w:val="5"/>
      </w:numPr>
    </w:pPr>
  </w:style>
  <w:style w:type="paragraph" w:styleId="ListNumber4">
    <w:name w:val="List Number 4"/>
    <w:basedOn w:val="List4"/>
    <w:rsid w:val="00E91DB6"/>
    <w:pPr>
      <w:numPr>
        <w:numId w:val="6"/>
      </w:numPr>
    </w:pPr>
  </w:style>
  <w:style w:type="paragraph" w:styleId="ListNumber5">
    <w:name w:val="List Number 5"/>
    <w:basedOn w:val="List5"/>
    <w:rsid w:val="00E91DB6"/>
    <w:pPr>
      <w:numPr>
        <w:numId w:val="7"/>
      </w:numPr>
    </w:pPr>
  </w:style>
  <w:style w:type="paragraph" w:styleId="BlockText">
    <w:name w:val="Block Text"/>
    <w:basedOn w:val="Normal"/>
    <w:rsid w:val="00E91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DB6"/>
    <w:rPr>
      <w:sz w:val="16"/>
      <w:vertAlign w:val="superscript"/>
    </w:rPr>
  </w:style>
  <w:style w:type="character" w:customStyle="1" w:styleId="Symbols">
    <w:name w:val="Symbols"/>
    <w:basedOn w:val="DefaultParagraphFont"/>
    <w:rsid w:val="00E91DB6"/>
    <w:rPr>
      <w:rFonts w:ascii="Symbol" w:hAnsi="Symbol"/>
    </w:rPr>
  </w:style>
  <w:style w:type="character" w:customStyle="1" w:styleId="MenuOptions">
    <w:name w:val="Menu Options"/>
    <w:basedOn w:val="DefaultParagraphFont"/>
    <w:rsid w:val="00E91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DB6"/>
    <w:rPr>
      <w:b/>
    </w:rPr>
  </w:style>
  <w:style w:type="character" w:customStyle="1" w:styleId="Underlined">
    <w:name w:val="Underlined"/>
    <w:basedOn w:val="DefaultParagraphFont"/>
    <w:rsid w:val="00E91DB6"/>
    <w:rPr>
      <w:u w:val="single"/>
    </w:rPr>
  </w:style>
  <w:style w:type="paragraph" w:customStyle="1" w:styleId="TableBodyTextRight">
    <w:name w:val="Table Body Text Right"/>
    <w:basedOn w:val="TableBodyText"/>
    <w:rsid w:val="00E91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DB6"/>
    <w:rPr>
      <w:sz w:val="18"/>
    </w:rPr>
  </w:style>
  <w:style w:type="paragraph" w:customStyle="1" w:styleId="BodySmallRight">
    <w:name w:val="Body Small Right"/>
    <w:basedOn w:val="BodyTextRight"/>
    <w:rsid w:val="00E91DB6"/>
    <w:rPr>
      <w:sz w:val="18"/>
      <w:szCs w:val="18"/>
    </w:rPr>
  </w:style>
  <w:style w:type="paragraph" w:customStyle="1" w:styleId="MarginEdition">
    <w:name w:val="Margin Edition"/>
    <w:basedOn w:val="MarginNote"/>
    <w:rsid w:val="00E91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DB6"/>
    <w:rPr>
      <w:sz w:val="2"/>
      <w:szCs w:val="2"/>
    </w:rPr>
  </w:style>
  <w:style w:type="character" w:customStyle="1" w:styleId="Small">
    <w:name w:val="Small"/>
    <w:basedOn w:val="DefaultParagraphFont"/>
    <w:rsid w:val="00E91DB6"/>
    <w:rPr>
      <w:sz w:val="16"/>
    </w:rPr>
  </w:style>
  <w:style w:type="paragraph" w:customStyle="1" w:styleId="WideTable">
    <w:name w:val="Wide Table"/>
    <w:basedOn w:val="Normal"/>
    <w:rsid w:val="00E91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DB6"/>
  </w:style>
  <w:style w:type="paragraph" w:styleId="Quote">
    <w:name w:val="Quote"/>
    <w:basedOn w:val="Heading1"/>
    <w:link w:val="QuoteChar"/>
    <w:qFormat/>
    <w:rsid w:val="00E91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DB6"/>
    <w:pPr>
      <w:pageBreakBefore/>
    </w:pPr>
  </w:style>
  <w:style w:type="paragraph" w:customStyle="1" w:styleId="Border">
    <w:name w:val="Border"/>
    <w:basedOn w:val="Normal"/>
    <w:qFormat/>
    <w:rsid w:val="00E91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DB6"/>
    <w:rPr>
      <w:u w:val="single"/>
    </w:rPr>
  </w:style>
  <w:style w:type="character" w:customStyle="1" w:styleId="BoldandItalics">
    <w:name w:val="Bold and Italics"/>
    <w:qFormat/>
    <w:rsid w:val="00E91DB6"/>
    <w:rPr>
      <w:b/>
      <w:i/>
      <w:u w:val="none"/>
    </w:rPr>
  </w:style>
  <w:style w:type="paragraph" w:styleId="BalloonText">
    <w:name w:val="Balloon Text"/>
    <w:basedOn w:val="Normal"/>
    <w:link w:val="BalloonTextChar"/>
    <w:rsid w:val="00E91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DB6"/>
    <w:pPr>
      <w:spacing w:before="0" w:after="0"/>
    </w:pPr>
  </w:style>
  <w:style w:type="paragraph" w:customStyle="1" w:styleId="BodyTextBold">
    <w:name w:val="Body Text Bold"/>
    <w:basedOn w:val="BodyText"/>
    <w:qFormat/>
    <w:rsid w:val="00E91DB6"/>
    <w:rPr>
      <w:b/>
    </w:rPr>
  </w:style>
  <w:style w:type="character" w:styleId="Hyperlink">
    <w:name w:val="Hyperlink"/>
    <w:basedOn w:val="DefaultParagraphFont"/>
    <w:uiPriority w:val="99"/>
    <w:unhideWhenUsed/>
    <w:rsid w:val="002E4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2588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FNSPIM517 Manage complex return to work cases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