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23E" w:rsidP="00627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FNSPIM512 Negotiate settlements for medical indemnity claims</w:t>
      </w:r>
      <w:r>
        <w:fldChar w:fldCharType="end"/>
      </w:r>
    </w:p>
    <w:p w:rsidR="0062723E" w:rsidP="0062723E">
      <w:pPr>
        <w:pStyle w:val="Version"/>
        <w:sectPr w:rsidSect="00A20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2AF" w:rsidP="00A202AF">
      <w:pPr>
        <w:pStyle w:val="SuperHeading"/>
      </w:pPr>
      <w:r w:rsidRPr="00A202AF">
        <w:t>FNSPIM512 Negotiate settlements for medical indemnity claims</w:t>
      </w:r>
    </w:p>
    <w:p w:rsidR="00000000" w:rsidRPr="00A202AF" w:rsidP="00A202AF">
      <w:pPr>
        <w:pStyle w:val="Heading1"/>
      </w:pPr>
      <w:bookmarkStart w:id="1" w:name="O_751399"/>
      <w:bookmarkEnd w:id="1"/>
      <w:r w:rsidRPr="00A20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A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rPr>
                <w:rStyle w:val="SpecialBold"/>
              </w:rPr>
              <w:t>Comments</w:t>
            </w:r>
          </w:p>
        </w:tc>
      </w:tr>
      <w:tr w:rsidTr="00A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t>This version first released with FNS Financial Services Training Package Version 2.0.</w:t>
            </w:r>
          </w:p>
        </w:tc>
      </w:tr>
    </w:tbl>
    <w:p w:rsidR="00000000" w:rsidRPr="00A202AF" w:rsidP="00A202AF">
      <w:pPr>
        <w:pStyle w:val="BodyText"/>
      </w:pPr>
    </w:p>
    <w:p w:rsidR="00000000" w:rsidRPr="00A202AF" w:rsidP="00A202AF">
      <w:pPr>
        <w:pStyle w:val="AllowPageBreak"/>
      </w:pPr>
    </w:p>
    <w:p w:rsidR="00000000" w:rsidRPr="00A202AF" w:rsidP="00A202AF">
      <w:pPr>
        <w:pStyle w:val="Heading1"/>
      </w:pPr>
      <w:bookmarkStart w:id="2" w:name="O_751400"/>
      <w:bookmarkEnd w:id="2"/>
      <w:r w:rsidRPr="00A202AF">
        <w:t>Application</w:t>
      </w:r>
    </w:p>
    <w:p w:rsidR="00000000" w:rsidRPr="00A202AF" w:rsidP="0062723E">
      <w:pPr>
        <w:pStyle w:val="BodyText"/>
      </w:pPr>
      <w:r w:rsidRPr="00A202AF">
        <w:t>This unit describes the skills and knowledge required to negotiate and set</w:t>
      </w:r>
      <w:r w:rsidRPr="00A202AF">
        <w:t>tle claims within a medical indemnity context. It involves liaison and negotiation with key stakeholders to determine an agreed settlement.</w:t>
      </w:r>
    </w:p>
    <w:p w:rsidR="00000000" w:rsidRPr="00A202AF" w:rsidP="0062723E">
      <w:pPr>
        <w:pStyle w:val="BodyText"/>
      </w:pPr>
      <w:r w:rsidRPr="00A202AF">
        <w:t xml:space="preserve">It applies to individuals who use specialised legal and medical knowledge to make judgements within their level of </w:t>
      </w:r>
      <w:r w:rsidRPr="00A202AF">
        <w:t xml:space="preserve">responsibility. They work independently and in teams and take responsibility for settling claims within a structured organisational framework. </w:t>
      </w:r>
    </w:p>
    <w:p w:rsidR="00000000" w:rsidRPr="00A202AF" w:rsidP="0062723E">
      <w:pPr>
        <w:pStyle w:val="BodyText"/>
      </w:pPr>
      <w:r w:rsidRPr="00A202AF">
        <w:t>No licensing, legislative or certification requirements apply to this unit at the time of publication.</w:t>
      </w:r>
    </w:p>
    <w:p w:rsidR="00000000" w:rsidRPr="00A202AF" w:rsidP="00A202AF">
      <w:pPr>
        <w:pStyle w:val="Heading1"/>
      </w:pPr>
      <w:bookmarkStart w:id="3" w:name="O_751403"/>
      <w:bookmarkEnd w:id="3"/>
      <w:r w:rsidRPr="00A202AF">
        <w:t>Unit Sector</w:t>
      </w:r>
    </w:p>
    <w:p w:rsidR="00000000" w:rsidRPr="00A202AF" w:rsidP="0062723E">
      <w:pPr>
        <w:pStyle w:val="BodyText"/>
      </w:pPr>
      <w:r w:rsidRPr="00A202AF">
        <w:t>Personal injury management</w:t>
      </w:r>
    </w:p>
    <w:p w:rsidR="00000000" w:rsidRPr="00A202AF" w:rsidP="00A202AF">
      <w:pPr>
        <w:pStyle w:val="Heading1"/>
      </w:pPr>
      <w:bookmarkStart w:id="4" w:name="O_751404"/>
      <w:bookmarkEnd w:id="4"/>
      <w:r w:rsidRPr="00A202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2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rPr>
                <w:rStyle w:val="SpecialBold"/>
              </w:rPr>
              <w:t>PERFORMANCE CRITERIA</w:t>
            </w:r>
          </w:p>
        </w:tc>
      </w:tr>
      <w:tr w:rsidTr="00A2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2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1. Prepare terms and conditions of settlement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t>1.1 Review analysis of claims information in files and organisational systems relating to causation and liabilit</w:t>
            </w:r>
            <w:r w:rsidRPr="00A202AF">
              <w:t xml:space="preserve">y </w:t>
            </w:r>
          </w:p>
          <w:p w:rsidR="00000000" w:rsidRPr="00A202AF" w:rsidP="00A202AF">
            <w:pPr>
              <w:pStyle w:val="BodyText"/>
            </w:pPr>
            <w:r w:rsidRPr="00A202AF">
              <w:t>1.2 Review calculations used to determine quantum including settlement amount and adjust if necessary based on case notes and previous relevant cases</w:t>
            </w:r>
          </w:p>
          <w:p w:rsidR="00000000" w:rsidRPr="00A202AF" w:rsidP="00A202AF">
            <w:pPr>
              <w:pStyle w:val="BodyText"/>
            </w:pPr>
            <w:r w:rsidRPr="00A202AF">
              <w:t>1.3 Identify and assess settlement options to determine the most cost effective course of action accord</w:t>
            </w:r>
            <w:r w:rsidRPr="00A202AF">
              <w:t>ing to organisational guidelines</w:t>
            </w:r>
          </w:p>
          <w:p w:rsidR="00000000" w:rsidRPr="00A202AF" w:rsidP="00A202AF">
            <w:pPr>
              <w:pStyle w:val="BodyText"/>
            </w:pPr>
            <w:r w:rsidRPr="00A202AF">
              <w:t xml:space="preserve">1.4 Seek advice on settlement options with technical and/or legal advisors if required </w:t>
            </w:r>
          </w:p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1.5 Determine settlement terms, within limits of delegated authority, that meet legislative obligations and organisational and governme</w:t>
            </w:r>
            <w:r w:rsidRPr="00A202AF">
              <w:t>nt policy requirements</w:t>
            </w:r>
          </w:p>
        </w:tc>
      </w:tr>
      <w:tr w:rsidTr="00A2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2. Negotiate settlement terms and conditions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t xml:space="preserve">2.1 Prepare and accurately document settlement terms and conditions prior to negotiations according to organisational policies and procedures and relevant legislation </w:t>
            </w:r>
          </w:p>
          <w:p w:rsidR="00000000" w:rsidRPr="00A202AF" w:rsidP="00A202AF">
            <w:pPr>
              <w:pStyle w:val="BodyText"/>
            </w:pPr>
            <w:r w:rsidRPr="00A202AF">
              <w:t xml:space="preserve">2.2 Negotiate settlement terms and conditions with key stakeholders, working with legal advisers if required, according to regulatory obligations and organisational policies and procedures </w:t>
            </w:r>
          </w:p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2.3 Make adjustments to settlement terms and conditions if require</w:t>
            </w:r>
            <w:r w:rsidRPr="00A202AF">
              <w:t>d</w:t>
            </w:r>
          </w:p>
        </w:tc>
      </w:tr>
      <w:tr w:rsidTr="00A2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3. Manage cases where litigation or disputation arises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t>3.1 Refer settlements that cannot be agreed to mediation or legal adviser or provider according to organisational procedures</w:t>
            </w:r>
          </w:p>
          <w:p w:rsidR="00000000" w:rsidRPr="00A202AF" w:rsidP="00A202AF">
            <w:pPr>
              <w:pStyle w:val="BodyText"/>
            </w:pPr>
            <w:r w:rsidRPr="00A202AF">
              <w:t>3.2 Prepare instructions for legal adviser or provider using organisation</w:t>
            </w:r>
            <w:r w:rsidRPr="00A202AF">
              <w:t>al templates and guidelines</w:t>
            </w:r>
          </w:p>
          <w:p w:rsidR="00000000" w:rsidRPr="00A202AF" w:rsidP="00A202AF">
            <w:pPr>
              <w:pStyle w:val="BodyText"/>
            </w:pPr>
            <w:r w:rsidRPr="00A202AF">
              <w:t>3.3 Provide all relevant documents and information to involved parties according to legal or court requirements</w:t>
            </w:r>
          </w:p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3.4 Manage disagreements promptly and professionally to achieve the best outcome at minimum financial and other cost</w:t>
            </w:r>
            <w:r w:rsidRPr="00A202AF">
              <w:t xml:space="preserve">s </w:t>
            </w:r>
          </w:p>
        </w:tc>
      </w:tr>
      <w:tr w:rsidTr="00A2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 xml:space="preserve">4. Monitor settlement progress and finalise medical indemnity claim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t>4.1 Monitor progress of all claims negotiations using calendar and organisational tools</w:t>
            </w:r>
          </w:p>
          <w:p w:rsidR="00000000" w:rsidRPr="00A202AF" w:rsidP="00A202AF">
            <w:pPr>
              <w:pStyle w:val="BodyText"/>
            </w:pPr>
            <w:r w:rsidRPr="00A202AF">
              <w:t>4.2 Provide stakeholders with accurate and timely advice regarding claim negotiations and proce</w:t>
            </w:r>
            <w:r w:rsidRPr="00A202AF">
              <w:t xml:space="preserve">edings </w:t>
            </w:r>
          </w:p>
          <w:p w:rsidR="00000000" w:rsidRPr="00A202AF" w:rsidP="00A202AF">
            <w:pPr>
              <w:pStyle w:val="BodyText"/>
            </w:pPr>
            <w:r w:rsidRPr="00A202AF">
              <w:t>4.3 Obtain agreement on settlement and discharge or close the claim to ensure potential for further liability is eliminated</w:t>
            </w:r>
          </w:p>
          <w:p w:rsidR="00000000" w:rsidRPr="00A202AF" w:rsidP="00A202AF">
            <w:pPr>
              <w:pStyle w:val="BodyText"/>
            </w:pPr>
            <w:r w:rsidRPr="00A202AF">
              <w:t>4.4 Document cases thoroughly and accurately and update all records according to organisational procedures and regulatory re</w:t>
            </w:r>
            <w:r w:rsidRPr="00A202AF">
              <w:t xml:space="preserve">quirements </w:t>
            </w:r>
          </w:p>
        </w:tc>
      </w:tr>
    </w:tbl>
    <w:p w:rsidR="00000000" w:rsidRPr="00A202AF" w:rsidP="00A202AF">
      <w:pPr>
        <w:pStyle w:val="BodyText"/>
      </w:pPr>
    </w:p>
    <w:p w:rsidR="00000000" w:rsidRPr="00A202AF" w:rsidP="00A202AF">
      <w:pPr>
        <w:pStyle w:val="AllowPageBreak"/>
      </w:pPr>
    </w:p>
    <w:p w:rsidR="00000000" w:rsidRPr="00A202AF" w:rsidP="00A202AF">
      <w:pPr>
        <w:pStyle w:val="Heading1"/>
      </w:pPr>
      <w:bookmarkStart w:id="5" w:name="O_751405"/>
      <w:bookmarkEnd w:id="5"/>
      <w:r w:rsidRPr="00A202AF">
        <w:t>Foundation Skills</w:t>
      </w:r>
    </w:p>
    <w:p w:rsidR="00000000" w:rsidRPr="0062723E" w:rsidP="0062723E">
      <w:pPr>
        <w:pStyle w:val="BodyText"/>
        <w:rPr>
          <w:i/>
        </w:rPr>
      </w:pPr>
      <w:r w:rsidRPr="006272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Skill</w:t>
            </w:r>
          </w:p>
          <w:p w:rsidR="00000000" w:rsidRPr="00A202AF">
            <w:pPr>
              <w:pStyle w:val="BodyText"/>
              <w:keepLines w:val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Performance</w:t>
            </w:r>
          </w:p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Description</w:t>
            </w:r>
          </w:p>
          <w:p w:rsidR="00000000" w:rsidP="00A202AF">
            <w:pPr>
              <w:pStyle w:val="BodyText"/>
              <w:rPr>
                <w:lang w:val="en-NZ"/>
              </w:rPr>
            </w:pPr>
          </w:p>
        </w:tc>
      </w:tr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</w:p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1.1, 1.2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ListBullet"/>
              <w:rPr>
                <w:lang w:val="en-NZ"/>
              </w:rPr>
            </w:pPr>
            <w:r w:rsidRPr="00A202AF">
              <w:t>Gathers, analyses and interprets simple to complex information from a range of sources and identifies relevant information and actions</w:t>
            </w:r>
          </w:p>
        </w:tc>
      </w:tr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2.1, 2.2, 3.2, 4.2, 4.4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ListBullet"/>
            </w:pPr>
            <w:r w:rsidRPr="00A202AF">
              <w:t>Produces texts of varying complexity using appropriate language, lega</w:t>
            </w:r>
            <w:r w:rsidRPr="00A202AF">
              <w:t>l terminology and logical sequence to convey and record information accurately and effectively</w:t>
            </w:r>
          </w:p>
          <w:p w:rsidR="00000000" w:rsidP="00A202AF">
            <w:pPr>
              <w:pStyle w:val="ListBullet"/>
              <w:rPr>
                <w:lang w:val="en-NZ"/>
              </w:rPr>
            </w:pPr>
            <w:r w:rsidRPr="00A202AF">
              <w:t>Writes, edits and proofreads case instructions to ensure clarity of meaning and accuracy and consistency of information</w:t>
            </w:r>
          </w:p>
        </w:tc>
      </w:tr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2.2, 4.2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ListBullet"/>
              <w:rPr>
                <w:lang w:val="en-NZ"/>
              </w:rPr>
            </w:pPr>
            <w:r w:rsidRPr="00A202AF">
              <w:t>Uses clear, specific language and correct medical and legal terminology to convey information and achieve required outcomes</w:t>
            </w:r>
          </w:p>
        </w:tc>
      </w:tr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Numeracy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1.2, 1.3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ListBullet"/>
              <w:rPr>
                <w:lang w:val="en-NZ"/>
              </w:rPr>
            </w:pPr>
            <w:r w:rsidRPr="00A202AF">
              <w:t xml:space="preserve">Uses mathematical operations to perform financial calculations </w:t>
            </w:r>
          </w:p>
        </w:tc>
      </w:tr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1.5, 3.3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ListBullet"/>
              <w:rPr>
                <w:lang w:val="en-NZ"/>
              </w:rPr>
            </w:pPr>
            <w:r w:rsidRPr="00A202AF">
              <w:t>Recognises</w:t>
            </w:r>
            <w:r w:rsidRPr="00A202AF">
              <w:t xml:space="preserve"> and follows legislative requirements, explicit and implicit protocols, policies and procedures and meets expectations associated with own role</w:t>
            </w:r>
          </w:p>
        </w:tc>
      </w:tr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1.4, 2.2, 3.4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ListBullet"/>
            </w:pPr>
            <w:r w:rsidRPr="00A202AF">
              <w:t xml:space="preserve">Selects and uses appropriate communication conventions and protocols to liaise with others </w:t>
            </w:r>
          </w:p>
          <w:p w:rsidR="00000000" w:rsidP="00A202AF">
            <w:pPr>
              <w:pStyle w:val="ListBullet"/>
              <w:rPr>
                <w:lang w:val="en-NZ"/>
              </w:rPr>
            </w:pPr>
            <w:r w:rsidRPr="00A202AF">
              <w:t>Manages conflict through the recognition of contributing factors and by implementing strategies to resolve it</w:t>
            </w:r>
          </w:p>
        </w:tc>
      </w:tr>
      <w:tr w:rsidTr="00A2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1.5, 2.3, 3.1, 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ListBullet"/>
            </w:pPr>
            <w:r w:rsidRPr="00A202AF">
              <w:t>Applies sys</w:t>
            </w:r>
            <w:r w:rsidRPr="00A202AF">
              <w:t>tematic decision-making processes for complex and non-routine situations</w:t>
            </w:r>
          </w:p>
          <w:p w:rsidR="00000000" w:rsidRPr="00A202AF" w:rsidP="00A202AF">
            <w:pPr>
              <w:pStyle w:val="ListBullet"/>
            </w:pPr>
            <w:r w:rsidRPr="00A202AF">
              <w:t xml:space="preserve">Organises, plans and sequences work activities </w:t>
            </w:r>
          </w:p>
          <w:p w:rsidR="00000000" w:rsidRPr="00A202AF" w:rsidP="00A202AF">
            <w:pPr>
              <w:pStyle w:val="ListBullet"/>
            </w:pPr>
            <w:r w:rsidRPr="00A202AF">
              <w:t>Uses a range of digitally based technologies to access, extract and manage relevant information to achieve required outcomes</w:t>
            </w:r>
          </w:p>
        </w:tc>
      </w:tr>
    </w:tbl>
    <w:p w:rsidR="00000000" w:rsidRPr="00A202AF" w:rsidP="00A202AF">
      <w:pPr>
        <w:pStyle w:val="BodyText"/>
      </w:pPr>
    </w:p>
    <w:p w:rsidR="00000000" w:rsidRPr="00A202AF" w:rsidP="00A202AF">
      <w:pPr>
        <w:pStyle w:val="AllowPageBreak"/>
      </w:pPr>
    </w:p>
    <w:p w:rsidR="00000000" w:rsidRPr="00A202AF" w:rsidP="00A202AF">
      <w:pPr>
        <w:pStyle w:val="Heading1"/>
      </w:pPr>
      <w:bookmarkStart w:id="6" w:name="O_751407"/>
      <w:bookmarkEnd w:id="6"/>
      <w:r w:rsidRPr="00A202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420"/>
        <w:gridCol w:w="1547"/>
        <w:gridCol w:w="1557"/>
      </w:tblGrid>
      <w:tr w:rsidTr="00A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 xml:space="preserve">Code and title </w:t>
            </w:r>
          </w:p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current version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Code and title</w:t>
            </w:r>
          </w:p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previous version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rPr>
                <w:rStyle w:val="SpecialBold"/>
              </w:rPr>
              <w:t>Equivalence status</w:t>
            </w:r>
          </w:p>
        </w:tc>
      </w:tr>
      <w:tr w:rsidTr="00A2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 xml:space="preserve">FNSPIM512 Negotiate settlements for medical indemnity claims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Not applicable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AF">
            <w:pPr>
              <w:pStyle w:val="BodyText"/>
              <w:rPr>
                <w:lang w:val="en-NZ"/>
              </w:rPr>
            </w:pPr>
            <w:r w:rsidRPr="00A202AF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AF" w:rsidP="00A202AF">
            <w:pPr>
              <w:pStyle w:val="BodyText"/>
            </w:pPr>
            <w:r w:rsidRPr="00A202AF">
              <w:t xml:space="preserve">No equivalent unit </w:t>
            </w:r>
          </w:p>
        </w:tc>
      </w:tr>
    </w:tbl>
    <w:p w:rsidR="00000000" w:rsidRPr="00A202AF" w:rsidP="00A202AF">
      <w:pPr>
        <w:pStyle w:val="BodyText"/>
      </w:pPr>
    </w:p>
    <w:p w:rsidR="00000000" w:rsidRPr="00A202AF" w:rsidP="00A202AF">
      <w:pPr>
        <w:pStyle w:val="AllowPageBreak"/>
      </w:pPr>
    </w:p>
    <w:p w:rsidR="00000000" w:rsidRPr="00A202AF" w:rsidP="00A202AF">
      <w:pPr>
        <w:pStyle w:val="Heading1"/>
      </w:pPr>
      <w:bookmarkStart w:id="7" w:name="O_751414"/>
      <w:bookmarkEnd w:id="7"/>
      <w:r w:rsidRPr="00A202AF">
        <w:t>Links</w:t>
      </w:r>
    </w:p>
    <w:p w:rsidR="00000000" w:rsidRPr="00A202AF" w:rsidP="0062723E">
      <w:pPr>
        <w:pStyle w:val="BodyText"/>
      </w:pPr>
      <w:r w:rsidRPr="00A20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3CD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202AF" w:rsidP="00A202AF"/>
    <w:sectPr w:rsidSect="00A202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AF" w:rsidRPr="0062723E" w:rsidP="00627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3E" w:rsidP="00A20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23E" w:rsidP="00A20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723E" w:rsidP="00A20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2AF" w:rsidRPr="0062723E" w:rsidP="00627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3E" w:rsidRPr="002D2AF8" w:rsidP="00A20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FNSPIM512 Negotiate settlements for medical indemnity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62723E" w:rsidP="00A20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F2F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3A8B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2AF"/>
  </w:style>
  <w:style w:type="character" w:customStyle="1" w:styleId="Heading1Char">
    <w:name w:val="Heading 1 Char"/>
    <w:basedOn w:val="DefaultParagraphFont"/>
    <w:link w:val="Heading1"/>
    <w:rsid w:val="00A20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2AF"/>
    <w:rPr>
      <w:b/>
      <w:spacing w:val="0"/>
    </w:rPr>
  </w:style>
  <w:style w:type="character" w:styleId="Emphasis">
    <w:name w:val="Emphasis"/>
    <w:basedOn w:val="DefaultParagraphFont"/>
    <w:qFormat/>
    <w:rsid w:val="00A202AF"/>
    <w:rPr>
      <w:i/>
    </w:rPr>
  </w:style>
  <w:style w:type="paragraph" w:customStyle="1" w:styleId="SuperHeading">
    <w:name w:val="SuperHeading"/>
    <w:basedOn w:val="Normal"/>
    <w:rsid w:val="00A20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2AF"/>
  </w:style>
  <w:style w:type="paragraph" w:styleId="TableofFigures">
    <w:name w:val="table of figures"/>
    <w:basedOn w:val="Normal"/>
    <w:next w:val="Normal"/>
    <w:semiHidden/>
    <w:rsid w:val="00A20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2AF"/>
    <w:rPr>
      <w:rFonts w:ascii="Wingdings" w:hAnsi="Wingdings"/>
    </w:rPr>
  </w:style>
  <w:style w:type="paragraph" w:customStyle="1" w:styleId="TableHeading">
    <w:name w:val="Table Heading"/>
    <w:basedOn w:val="HeadingBase"/>
    <w:rsid w:val="00A20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2AF"/>
    <w:rPr>
      <w:color w:val="0033CC"/>
      <w:u w:val="none"/>
    </w:rPr>
  </w:style>
  <w:style w:type="paragraph" w:customStyle="1" w:styleId="BodyTextRight">
    <w:name w:val="Body Text Right"/>
    <w:basedOn w:val="BodyText"/>
    <w:rsid w:val="00A20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2AF"/>
    <w:rPr>
      <w:sz w:val="32"/>
    </w:rPr>
  </w:style>
  <w:style w:type="paragraph" w:customStyle="1" w:styleId="HeadingProcedure">
    <w:name w:val="Heading Procedure"/>
    <w:basedOn w:val="HeadingBase"/>
    <w:next w:val="Normal"/>
    <w:rsid w:val="00A20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2AF"/>
    <w:pPr>
      <w:spacing w:before="60" w:after="60"/>
    </w:pPr>
  </w:style>
  <w:style w:type="paragraph" w:styleId="ListContinue">
    <w:name w:val="List Continue"/>
    <w:basedOn w:val="List"/>
    <w:rsid w:val="00A202AF"/>
    <w:pPr>
      <w:ind w:firstLine="0"/>
    </w:pPr>
  </w:style>
  <w:style w:type="paragraph" w:customStyle="1" w:styleId="ListNote">
    <w:name w:val="List Note"/>
    <w:basedOn w:val="List"/>
    <w:rsid w:val="00A20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2AF"/>
    <w:rPr>
      <w:rFonts w:ascii="Courier New" w:hAnsi="Courier New"/>
    </w:rPr>
  </w:style>
  <w:style w:type="paragraph" w:customStyle="1" w:styleId="NoteBullet">
    <w:name w:val="Note Bullet"/>
    <w:basedOn w:val="Note"/>
    <w:rsid w:val="00A20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2AF"/>
    <w:rPr>
      <w:b/>
      <w:smallCaps/>
    </w:rPr>
  </w:style>
  <w:style w:type="paragraph" w:customStyle="1" w:styleId="TableListNumber">
    <w:name w:val="Table List Number"/>
    <w:basedOn w:val="ListNumber"/>
    <w:rsid w:val="00A20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2AF"/>
    <w:pPr>
      <w:numPr>
        <w:numId w:val="8"/>
      </w:numPr>
    </w:pPr>
  </w:style>
  <w:style w:type="paragraph" w:customStyle="1" w:styleId="ListAlpha2">
    <w:name w:val="List Alpha 2"/>
    <w:basedOn w:val="List2"/>
    <w:rsid w:val="00A202AF"/>
    <w:pPr>
      <w:numPr>
        <w:numId w:val="7"/>
      </w:numPr>
    </w:pPr>
  </w:style>
  <w:style w:type="paragraph" w:styleId="List2">
    <w:name w:val="List 2"/>
    <w:basedOn w:val="BodyText"/>
    <w:rsid w:val="00A20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2AF"/>
    <w:pPr>
      <w:numPr>
        <w:numId w:val="3"/>
      </w:numPr>
    </w:pPr>
  </w:style>
  <w:style w:type="paragraph" w:styleId="ListContinue2">
    <w:name w:val="List Continue 2"/>
    <w:basedOn w:val="List2"/>
    <w:rsid w:val="00A202AF"/>
    <w:pPr>
      <w:ind w:firstLine="0"/>
    </w:pPr>
  </w:style>
  <w:style w:type="paragraph" w:styleId="ListContinue3">
    <w:name w:val="List Continue 3"/>
    <w:basedOn w:val="List3"/>
    <w:rsid w:val="00A202AF"/>
    <w:pPr>
      <w:ind w:left="1021" w:firstLine="0"/>
    </w:pPr>
  </w:style>
  <w:style w:type="paragraph" w:styleId="ListContinue4">
    <w:name w:val="List Continue 4"/>
    <w:basedOn w:val="List4"/>
    <w:rsid w:val="00A202AF"/>
    <w:pPr>
      <w:ind w:firstLine="0"/>
    </w:pPr>
  </w:style>
  <w:style w:type="paragraph" w:styleId="ListContinue5">
    <w:name w:val="List Continue 5"/>
    <w:basedOn w:val="List5"/>
    <w:rsid w:val="00A202AF"/>
    <w:pPr>
      <w:ind w:firstLine="0"/>
    </w:pPr>
  </w:style>
  <w:style w:type="paragraph" w:styleId="ListNumber3">
    <w:name w:val="List Number 3"/>
    <w:basedOn w:val="List3"/>
    <w:rsid w:val="00A202AF"/>
    <w:pPr>
      <w:numPr>
        <w:numId w:val="4"/>
      </w:numPr>
    </w:pPr>
  </w:style>
  <w:style w:type="paragraph" w:styleId="ListNumber4">
    <w:name w:val="List Number 4"/>
    <w:basedOn w:val="List4"/>
    <w:rsid w:val="00A202AF"/>
    <w:pPr>
      <w:numPr>
        <w:numId w:val="5"/>
      </w:numPr>
    </w:pPr>
  </w:style>
  <w:style w:type="paragraph" w:styleId="ListNumber5">
    <w:name w:val="List Number 5"/>
    <w:basedOn w:val="List5"/>
    <w:rsid w:val="00A202AF"/>
    <w:pPr>
      <w:numPr>
        <w:numId w:val="6"/>
      </w:numPr>
    </w:pPr>
  </w:style>
  <w:style w:type="paragraph" w:styleId="BlockText">
    <w:name w:val="Block Text"/>
    <w:basedOn w:val="Normal"/>
    <w:rsid w:val="00A20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2AF"/>
    <w:rPr>
      <w:sz w:val="16"/>
      <w:vertAlign w:val="superscript"/>
    </w:rPr>
  </w:style>
  <w:style w:type="character" w:customStyle="1" w:styleId="Symbols">
    <w:name w:val="Symbols"/>
    <w:basedOn w:val="DefaultParagraphFont"/>
    <w:rsid w:val="00A202AF"/>
    <w:rPr>
      <w:rFonts w:ascii="Symbol" w:hAnsi="Symbol"/>
    </w:rPr>
  </w:style>
  <w:style w:type="character" w:customStyle="1" w:styleId="MenuOptions">
    <w:name w:val="Menu Options"/>
    <w:basedOn w:val="DefaultParagraphFont"/>
    <w:rsid w:val="00A20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2AF"/>
    <w:rPr>
      <w:b/>
    </w:rPr>
  </w:style>
  <w:style w:type="character" w:customStyle="1" w:styleId="Underlined">
    <w:name w:val="Underlined"/>
    <w:basedOn w:val="DefaultParagraphFont"/>
    <w:rsid w:val="00A202AF"/>
    <w:rPr>
      <w:u w:val="single"/>
    </w:rPr>
  </w:style>
  <w:style w:type="paragraph" w:customStyle="1" w:styleId="TableBodyTextRight">
    <w:name w:val="Table Body Text Right"/>
    <w:basedOn w:val="TableBodyText"/>
    <w:rsid w:val="00A20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2AF"/>
    <w:rPr>
      <w:sz w:val="18"/>
    </w:rPr>
  </w:style>
  <w:style w:type="paragraph" w:customStyle="1" w:styleId="BodySmallRight">
    <w:name w:val="Body Small Right"/>
    <w:basedOn w:val="BodyTextRight"/>
    <w:rsid w:val="00A202AF"/>
    <w:rPr>
      <w:sz w:val="18"/>
      <w:szCs w:val="18"/>
    </w:rPr>
  </w:style>
  <w:style w:type="paragraph" w:customStyle="1" w:styleId="MarginEdition">
    <w:name w:val="Margin Edition"/>
    <w:basedOn w:val="MarginNote"/>
    <w:rsid w:val="00A20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2AF"/>
    <w:rPr>
      <w:sz w:val="2"/>
      <w:szCs w:val="2"/>
    </w:rPr>
  </w:style>
  <w:style w:type="character" w:customStyle="1" w:styleId="Small">
    <w:name w:val="Small"/>
    <w:basedOn w:val="DefaultParagraphFont"/>
    <w:rsid w:val="00A202AF"/>
    <w:rPr>
      <w:sz w:val="16"/>
    </w:rPr>
  </w:style>
  <w:style w:type="paragraph" w:customStyle="1" w:styleId="WideTable">
    <w:name w:val="Wide Table"/>
    <w:basedOn w:val="Normal"/>
    <w:rsid w:val="00A20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2AF"/>
  </w:style>
  <w:style w:type="paragraph" w:styleId="Quote">
    <w:name w:val="Quote"/>
    <w:basedOn w:val="Heading1"/>
    <w:link w:val="QuoteChar"/>
    <w:qFormat/>
    <w:rsid w:val="00A20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2AF"/>
    <w:pPr>
      <w:pageBreakBefore/>
    </w:pPr>
  </w:style>
  <w:style w:type="paragraph" w:customStyle="1" w:styleId="Border">
    <w:name w:val="Border"/>
    <w:basedOn w:val="Normal"/>
    <w:qFormat/>
    <w:rsid w:val="00A20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2AF"/>
    <w:rPr>
      <w:u w:val="single"/>
    </w:rPr>
  </w:style>
  <w:style w:type="character" w:customStyle="1" w:styleId="BoldandItalics">
    <w:name w:val="Bold and Italics"/>
    <w:qFormat/>
    <w:rsid w:val="00A202AF"/>
    <w:rPr>
      <w:b/>
      <w:i/>
      <w:u w:val="none"/>
    </w:rPr>
  </w:style>
  <w:style w:type="paragraph" w:styleId="BalloonText">
    <w:name w:val="Balloon Text"/>
    <w:basedOn w:val="Normal"/>
    <w:link w:val="BalloonTextChar"/>
    <w:rsid w:val="00A20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2AF"/>
    <w:pPr>
      <w:spacing w:before="0" w:after="0"/>
    </w:pPr>
  </w:style>
  <w:style w:type="paragraph" w:customStyle="1" w:styleId="BodyTextBold">
    <w:name w:val="Body Text Bold"/>
    <w:basedOn w:val="BodyText"/>
    <w:qFormat/>
    <w:rsid w:val="00A202AF"/>
    <w:rPr>
      <w:b/>
    </w:rPr>
  </w:style>
  <w:style w:type="character" w:styleId="Hyperlink">
    <w:name w:val="Hyperlink"/>
    <w:basedOn w:val="DefaultParagraphFont"/>
    <w:uiPriority w:val="99"/>
    <w:unhideWhenUsed/>
    <w:rsid w:val="00627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4775</Characters>
  <Application>Microsoft Office Word</Application>
  <DocSecurity>0</DocSecurity>
  <Lines>183</Lines>
  <Paragraphs>98</Paragraphs>
  <ScaleCrop>false</ScaleCrop>
  <Company>Author-it Software Corporation Ltd.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FNSPIM512 Negotiate settlements for medical indemnity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2021-02-02T04:43:00Z</dcterms:created>
  <dcterms:modified xsi:type="dcterms:W3CDTF">2021-02-02T04:43:00Z</dcterms:modified>
</cp:coreProperties>
</file>