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58E" w:rsidP="000A3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FNSPIM425 Facilitate recovery and return to life</w:t>
      </w:r>
      <w:r>
        <w:fldChar w:fldCharType="end"/>
      </w:r>
    </w:p>
    <w:p w:rsidR="000A358E" w:rsidP="000A358E">
      <w:pPr>
        <w:pStyle w:val="Version"/>
        <w:sectPr w:rsidSect="00FB5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627" w:rsidP="00FB5627">
      <w:pPr>
        <w:pStyle w:val="SuperHeading"/>
      </w:pPr>
      <w:r w:rsidRPr="00FB5627">
        <w:t>Assessment Requirements for FNSPIM425 Facilitate recovery and return to life</w:t>
      </w:r>
    </w:p>
    <w:p w:rsidR="00000000" w:rsidRPr="00FB5627" w:rsidP="00FB5627">
      <w:pPr>
        <w:pStyle w:val="Heading1"/>
      </w:pPr>
      <w:bookmarkStart w:id="1" w:name="O_1158521"/>
      <w:bookmarkEnd w:id="1"/>
      <w:r w:rsidRPr="00FB562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B56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27" w:rsidP="00FB5627">
            <w:pPr>
              <w:pStyle w:val="BodyText"/>
            </w:pPr>
            <w:r w:rsidRPr="00FB562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27">
            <w:pPr>
              <w:pStyle w:val="BodyText"/>
              <w:rPr>
                <w:lang w:val="en-NZ"/>
              </w:rPr>
            </w:pPr>
            <w:r w:rsidRPr="00FB5627">
              <w:rPr>
                <w:rStyle w:val="SpecialBold"/>
              </w:rPr>
              <w:t>Comments</w:t>
            </w:r>
          </w:p>
        </w:tc>
      </w:tr>
      <w:tr w:rsidTr="00FB56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27">
            <w:pPr>
              <w:pStyle w:val="BodyText"/>
              <w:rPr>
                <w:lang w:val="en-NZ"/>
              </w:rPr>
            </w:pPr>
            <w:r w:rsidRPr="00FB562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27" w:rsidP="00FB5627">
            <w:pPr>
              <w:pStyle w:val="BodyText"/>
            </w:pPr>
            <w:r w:rsidRPr="00FB5627">
              <w:t>This version first released with FNS Financial Services Training Package Version 6.0.</w:t>
            </w:r>
          </w:p>
        </w:tc>
      </w:tr>
    </w:tbl>
    <w:p w:rsidR="00000000" w:rsidRPr="00FB5627" w:rsidP="00FB5627">
      <w:pPr>
        <w:pStyle w:val="BodyText"/>
      </w:pPr>
    </w:p>
    <w:p w:rsidR="00000000" w:rsidRPr="00FB5627" w:rsidP="00FB5627">
      <w:pPr>
        <w:pStyle w:val="AllowPageBreak"/>
      </w:pPr>
    </w:p>
    <w:p w:rsidR="00000000" w:rsidRPr="00FB5627" w:rsidP="00FB5627">
      <w:pPr>
        <w:pStyle w:val="Heading1"/>
      </w:pPr>
      <w:bookmarkStart w:id="2" w:name="O_1158524"/>
      <w:bookmarkEnd w:id="2"/>
      <w:r w:rsidRPr="00FB5627">
        <w:t>Performance Evidence</w:t>
      </w:r>
    </w:p>
    <w:p w:rsidR="00000000" w:rsidRPr="00FB5627" w:rsidP="000A358E">
      <w:pPr>
        <w:pStyle w:val="BodyText"/>
      </w:pPr>
      <w:r w:rsidRPr="00FB5627">
        <w:t>The candidate must demonstrate the ability to complete the tasks outlined in the elements, performance criteria and foundation skills of this unit, including evidence of the ability to:</w:t>
      </w:r>
    </w:p>
    <w:p w:rsidR="00000000" w:rsidRPr="00FB5627" w:rsidP="00FB5627">
      <w:pPr>
        <w:pStyle w:val="ListBullet"/>
      </w:pPr>
      <w:r w:rsidRPr="00FB5627">
        <w:t>facilitate recovery and return to life for at le</w:t>
      </w:r>
      <w:r w:rsidRPr="00FB5627">
        <w:t>ast three personal injury clients.</w:t>
      </w:r>
    </w:p>
    <w:p w:rsidR="00000000" w:rsidRPr="00FB5627" w:rsidP="00FB5627">
      <w:pPr>
        <w:pStyle w:val="List"/>
      </w:pPr>
    </w:p>
    <w:p w:rsidR="00000000" w:rsidRPr="00FB5627" w:rsidP="000A358E">
      <w:pPr>
        <w:pStyle w:val="BodyText"/>
      </w:pPr>
      <w:r w:rsidRPr="00FB5627">
        <w:t xml:space="preserve">In the course of the above, the candidate must: </w:t>
      </w:r>
    </w:p>
    <w:p w:rsidR="00000000" w:rsidRPr="00FB5627" w:rsidP="00FB5627">
      <w:pPr>
        <w:pStyle w:val="ListBullet"/>
      </w:pPr>
      <w:r w:rsidRPr="00FB5627">
        <w:t>follow organisational policies, protocols and procedures within limits of own role.</w:t>
      </w:r>
    </w:p>
    <w:p w:rsidR="00000000" w:rsidRPr="00FB5627" w:rsidP="00FB5627">
      <w:pPr>
        <w:pStyle w:val="AllowPageBreak"/>
      </w:pPr>
    </w:p>
    <w:p w:rsidR="00000000" w:rsidRPr="00FB5627" w:rsidP="00FB5627">
      <w:pPr>
        <w:pStyle w:val="Heading1"/>
      </w:pPr>
      <w:bookmarkStart w:id="3" w:name="O_1158523"/>
      <w:bookmarkEnd w:id="3"/>
      <w:r w:rsidRPr="00FB5627">
        <w:t>Knowledge Evidence</w:t>
      </w:r>
    </w:p>
    <w:p w:rsidR="00000000" w:rsidRPr="00FB5627" w:rsidP="000A358E">
      <w:pPr>
        <w:pStyle w:val="BodyText"/>
      </w:pPr>
      <w:r w:rsidRPr="00FB5627">
        <w:t>The candidate must be able to demonstrate knowledge to complete the tasks outlined in the elements, performance criteria and foundation skills of this unit, including knowledge of:</w:t>
      </w:r>
    </w:p>
    <w:p w:rsidR="00000000" w:rsidRPr="00FB5627" w:rsidP="00FB5627">
      <w:pPr>
        <w:pStyle w:val="ListBullet"/>
      </w:pPr>
      <w:r w:rsidRPr="00FB5627">
        <w:t xml:space="preserve">key features of organisational policies and procedures, industry codes of </w:t>
      </w:r>
      <w:r w:rsidRPr="00FB5627">
        <w:t>practice and legislative and regulatory requirements relating to personal injury and return to life case management</w:t>
      </w:r>
    </w:p>
    <w:p w:rsidR="00000000" w:rsidRPr="00FB5627" w:rsidP="00FB5627">
      <w:pPr>
        <w:pStyle w:val="ListBullet"/>
      </w:pPr>
      <w:r w:rsidRPr="00FB5627">
        <w:t>key physiology, psychosocial and biological conditions of personal injury and related treatment services to support return to life</w:t>
      </w:r>
    </w:p>
    <w:p w:rsidR="00000000" w:rsidRPr="00FB5627" w:rsidP="00FB5627">
      <w:pPr>
        <w:pStyle w:val="ListBullet"/>
      </w:pPr>
      <w:r w:rsidRPr="00FB5627">
        <w:t xml:space="preserve">types of </w:t>
      </w:r>
      <w:r w:rsidRPr="00FB5627">
        <w:t>return to life strategies and their processes, including:</w:t>
      </w:r>
    </w:p>
    <w:p w:rsidR="00000000" w:rsidRPr="00FB5627" w:rsidP="00FB5627">
      <w:pPr>
        <w:pStyle w:val="ListBullet2"/>
      </w:pPr>
      <w:r w:rsidRPr="00FB5627">
        <w:t>return to work</w:t>
      </w:r>
    </w:p>
    <w:p w:rsidR="00000000" w:rsidRPr="00FB5627" w:rsidP="00FB5627">
      <w:pPr>
        <w:pStyle w:val="ListBullet2"/>
      </w:pPr>
      <w:r w:rsidRPr="00FB5627">
        <w:t>return to community</w:t>
      </w:r>
    </w:p>
    <w:p w:rsidR="00000000" w:rsidRPr="00FB5627" w:rsidP="00FB5627">
      <w:pPr>
        <w:pStyle w:val="ListBullet2"/>
      </w:pPr>
      <w:r w:rsidRPr="00FB5627">
        <w:t>return to health</w:t>
      </w:r>
    </w:p>
    <w:p w:rsidR="00000000" w:rsidRPr="00FB5627" w:rsidP="00FB5627">
      <w:pPr>
        <w:pStyle w:val="ListBullet2"/>
      </w:pPr>
      <w:r w:rsidRPr="00FB5627">
        <w:t>recovery</w:t>
      </w:r>
    </w:p>
    <w:p w:rsidR="00000000" w:rsidRPr="00FB5627" w:rsidP="00FB5627">
      <w:pPr>
        <w:pStyle w:val="ListBullet"/>
      </w:pPr>
      <w:r w:rsidRPr="00FB5627">
        <w:t>key principles, processes and practices of developing and facilitating return to life plans, strategies and case management</w:t>
      </w:r>
    </w:p>
    <w:p w:rsidR="00000000" w:rsidRPr="00FB5627" w:rsidP="00FB5627">
      <w:pPr>
        <w:pStyle w:val="ListBullet"/>
      </w:pPr>
      <w:r w:rsidRPr="00FB5627">
        <w:t>organisational systems and applications required for the facilitation of return to life and recording and distribution of information.</w:t>
      </w:r>
    </w:p>
    <w:p w:rsidR="00000000" w:rsidRPr="00FB5627" w:rsidP="00FB5627">
      <w:pPr>
        <w:pStyle w:val="ListBullet"/>
      </w:pPr>
      <w:r w:rsidRPr="00FB5627">
        <w:t>stakeholders involved in case conferencing and their role, including in development and monitoring of return to life stra</w:t>
      </w:r>
      <w:r w:rsidRPr="00FB5627">
        <w:t>tegies</w:t>
      </w:r>
    </w:p>
    <w:p w:rsidR="00000000" w:rsidRPr="00FB5627" w:rsidP="00FB5627">
      <w:pPr>
        <w:pStyle w:val="ListBullet"/>
      </w:pPr>
      <w:r w:rsidRPr="00FB5627">
        <w:t>contributing factors to a holistic approach to recovery, wellbeing and service development and delivery, including:</w:t>
      </w:r>
    </w:p>
    <w:p w:rsidR="00000000" w:rsidRPr="00FB5627" w:rsidP="00FB5627">
      <w:pPr>
        <w:pStyle w:val="ListBullet2"/>
      </w:pPr>
      <w:r w:rsidRPr="00FB5627">
        <w:t>social</w:t>
      </w:r>
    </w:p>
    <w:p w:rsidR="00000000" w:rsidRPr="00FB5627" w:rsidP="00FB5627">
      <w:pPr>
        <w:pStyle w:val="ListBullet2"/>
      </w:pPr>
      <w:r w:rsidRPr="00FB5627">
        <w:t>socioeconomic</w:t>
      </w:r>
    </w:p>
    <w:p w:rsidR="00000000" w:rsidRPr="00FB5627" w:rsidP="00FB5627">
      <w:pPr>
        <w:pStyle w:val="ListBullet2"/>
      </w:pPr>
      <w:r w:rsidRPr="00FB5627">
        <w:t>demographic</w:t>
      </w:r>
    </w:p>
    <w:p w:rsidR="00000000" w:rsidRPr="00FB5627" w:rsidP="00FB5627">
      <w:pPr>
        <w:pStyle w:val="ListBullet2"/>
      </w:pPr>
      <w:r w:rsidRPr="00FB5627">
        <w:t>emotional</w:t>
      </w:r>
    </w:p>
    <w:p w:rsidR="00000000" w:rsidRPr="00FB5627" w:rsidP="00FB5627">
      <w:pPr>
        <w:pStyle w:val="ListBullet2"/>
      </w:pPr>
      <w:r w:rsidRPr="00FB5627">
        <w:t>physical</w:t>
      </w:r>
    </w:p>
    <w:p w:rsidR="00000000" w:rsidRPr="00FB5627" w:rsidP="00FB5627">
      <w:pPr>
        <w:pStyle w:val="ListBullet2"/>
      </w:pPr>
      <w:r w:rsidRPr="00FB5627">
        <w:t>cognitive</w:t>
      </w:r>
    </w:p>
    <w:p w:rsidR="00000000" w:rsidRPr="00FB5627" w:rsidP="00FB5627">
      <w:pPr>
        <w:pStyle w:val="ListBullet2"/>
      </w:pPr>
      <w:r w:rsidRPr="00FB5627">
        <w:t>cultural and spiritual</w:t>
      </w:r>
    </w:p>
    <w:p w:rsidR="00000000" w:rsidRPr="00FB5627" w:rsidP="00FB5627">
      <w:pPr>
        <w:pStyle w:val="ListBullet"/>
      </w:pPr>
      <w:r w:rsidRPr="00FB5627">
        <w:t>roles and functions of service providers and t</w:t>
      </w:r>
      <w:r w:rsidRPr="00FB5627">
        <w:t>hird parties in the return to life process, including:</w:t>
      </w:r>
    </w:p>
    <w:p w:rsidR="00000000" w:rsidRPr="00FB5627" w:rsidP="00FB5627">
      <w:pPr>
        <w:pStyle w:val="ListBullet2"/>
      </w:pPr>
      <w:r w:rsidRPr="00FB5627">
        <w:t>personal injury case managers</w:t>
      </w:r>
    </w:p>
    <w:p w:rsidR="00000000" w:rsidRPr="00FB5627" w:rsidP="00FB5627">
      <w:pPr>
        <w:pStyle w:val="ListBullet2"/>
      </w:pPr>
      <w:r w:rsidRPr="00FB5627">
        <w:t>organisational personnel</w:t>
      </w:r>
    </w:p>
    <w:p w:rsidR="00000000" w:rsidRPr="00FB5627" w:rsidP="00FB5627">
      <w:pPr>
        <w:pStyle w:val="ListBullet2"/>
      </w:pPr>
      <w:r w:rsidRPr="00FB5627">
        <w:t>medical and health professionals</w:t>
      </w:r>
    </w:p>
    <w:p w:rsidR="00000000" w:rsidRPr="00FB5627" w:rsidP="00FB5627">
      <w:pPr>
        <w:pStyle w:val="ListBullet"/>
      </w:pPr>
      <w:r w:rsidRPr="00FB5627">
        <w:t>strategies for conducting effective case conferences.</w:t>
      </w:r>
    </w:p>
    <w:p w:rsidR="00000000" w:rsidRPr="00FB5627" w:rsidP="00FB5627">
      <w:pPr>
        <w:pStyle w:val="AllowPageBreak"/>
      </w:pPr>
    </w:p>
    <w:p w:rsidR="00000000" w:rsidRPr="00FB5627" w:rsidP="00FB5627">
      <w:pPr>
        <w:pStyle w:val="Heading1"/>
      </w:pPr>
      <w:bookmarkStart w:id="4" w:name="O_1158522"/>
      <w:bookmarkEnd w:id="4"/>
      <w:r w:rsidRPr="00FB5627">
        <w:t>Assessment Conditions</w:t>
      </w:r>
    </w:p>
    <w:p w:rsidR="00000000" w:rsidRPr="00FB5627" w:rsidP="000A358E">
      <w:pPr>
        <w:pStyle w:val="BodyText"/>
      </w:pPr>
      <w:r w:rsidRPr="00FB5627">
        <w:t xml:space="preserve">Skills in this unit must be demonstrated in a workplace or simulated environment where the conditions are typical of those in a working environment in this industry. </w:t>
      </w:r>
    </w:p>
    <w:p w:rsidR="00000000" w:rsidRPr="00FB5627" w:rsidP="000A358E">
      <w:pPr>
        <w:pStyle w:val="BodyText"/>
      </w:pPr>
      <w:r w:rsidRPr="00FB5627">
        <w:t>This includes access to:</w:t>
      </w:r>
    </w:p>
    <w:p w:rsidR="00000000" w:rsidRPr="00FB5627" w:rsidP="00FB5627">
      <w:pPr>
        <w:pStyle w:val="ListBullet"/>
      </w:pPr>
      <w:r w:rsidRPr="00FB5627">
        <w:t>clients</w:t>
      </w:r>
    </w:p>
    <w:p w:rsidR="00000000" w:rsidRPr="00FB5627" w:rsidP="00FB5627">
      <w:pPr>
        <w:pStyle w:val="ListBullet"/>
      </w:pPr>
      <w:r w:rsidRPr="00FB5627">
        <w:t>office equipment, technology and software</w:t>
      </w:r>
    </w:p>
    <w:p w:rsidR="00000000" w:rsidRPr="00FB5627" w:rsidP="00FB5627">
      <w:pPr>
        <w:pStyle w:val="ListBullet"/>
      </w:pPr>
      <w:r w:rsidRPr="00FB5627">
        <w:t>organisationa</w:t>
      </w:r>
      <w:r w:rsidRPr="00FB5627">
        <w:t>l records, policies and procedures.</w:t>
      </w:r>
    </w:p>
    <w:p w:rsidR="00000000" w:rsidRPr="00FB5627" w:rsidP="00FB5627">
      <w:pPr>
        <w:pStyle w:val="List"/>
      </w:pPr>
    </w:p>
    <w:p w:rsidR="00000000" w:rsidRPr="00FB5627" w:rsidP="000A358E">
      <w:pPr>
        <w:pStyle w:val="BodyText"/>
      </w:pPr>
      <w:r w:rsidRPr="00FB5627">
        <w:t>Assessors of this unit must satisfy the requirements for assessors in applicable vocational education and training legislation, frameworks and/or standards.</w:t>
      </w:r>
    </w:p>
    <w:p w:rsidR="00000000" w:rsidRPr="00FB5627" w:rsidP="00FB5627">
      <w:pPr>
        <w:pStyle w:val="Heading1"/>
      </w:pPr>
      <w:bookmarkStart w:id="5" w:name="O_1158520"/>
      <w:bookmarkEnd w:id="5"/>
      <w:r w:rsidRPr="00FB5627">
        <w:t>Links</w:t>
      </w:r>
    </w:p>
    <w:p w:rsidR="00000000" w:rsidRPr="00FB5627" w:rsidP="000A358E">
      <w:pPr>
        <w:pStyle w:val="BodyText"/>
      </w:pPr>
      <w:r w:rsidRPr="00FB56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12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5627" w:rsidP="00FB5627"/>
    <w:sectPr w:rsidSect="00FB5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27" w:rsidRPr="000A358E" w:rsidP="000A3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8E" w:rsidP="00FB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58E" w:rsidP="00FB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58E" w:rsidP="00FB5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627" w:rsidRPr="000A358E" w:rsidP="000A3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8E" w:rsidRPr="002D2AF8" w:rsidP="00FB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FNSPIM425 Facilitate recovery and return to 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A358E" w:rsidP="00FB5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CD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EE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AC0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627"/>
  </w:style>
  <w:style w:type="character" w:customStyle="1" w:styleId="Heading1Char">
    <w:name w:val="Heading 1 Char"/>
    <w:basedOn w:val="DefaultParagraphFont"/>
    <w:link w:val="Heading1"/>
    <w:rsid w:val="00FB5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6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56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6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627"/>
    <w:rPr>
      <w:b/>
      <w:spacing w:val="0"/>
    </w:rPr>
  </w:style>
  <w:style w:type="paragraph" w:styleId="ListBullet2">
    <w:name w:val="List Bullet 2"/>
    <w:basedOn w:val="List2"/>
    <w:rsid w:val="00FB56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6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627"/>
    <w:rPr>
      <w:i/>
    </w:rPr>
  </w:style>
  <w:style w:type="paragraph" w:styleId="Caption">
    <w:name w:val="caption"/>
    <w:basedOn w:val="BodyText"/>
    <w:next w:val="Normal"/>
    <w:qFormat/>
    <w:rsid w:val="00FB5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627"/>
  </w:style>
  <w:style w:type="paragraph" w:styleId="TableofFigures">
    <w:name w:val="table of figures"/>
    <w:basedOn w:val="Normal"/>
    <w:next w:val="Normal"/>
    <w:semiHidden/>
    <w:rsid w:val="00FB5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627"/>
    <w:rPr>
      <w:rFonts w:ascii="Wingdings" w:hAnsi="Wingdings"/>
    </w:rPr>
  </w:style>
  <w:style w:type="paragraph" w:customStyle="1" w:styleId="TableHeading">
    <w:name w:val="Table Heading"/>
    <w:basedOn w:val="HeadingBase"/>
    <w:rsid w:val="00FB5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627"/>
    <w:rPr>
      <w:color w:val="0033CC"/>
      <w:u w:val="none"/>
    </w:rPr>
  </w:style>
  <w:style w:type="paragraph" w:customStyle="1" w:styleId="BodyTextRight">
    <w:name w:val="Body Text Right"/>
    <w:basedOn w:val="BodyText"/>
    <w:rsid w:val="00FB5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627"/>
    <w:rPr>
      <w:sz w:val="32"/>
    </w:rPr>
  </w:style>
  <w:style w:type="paragraph" w:customStyle="1" w:styleId="HeadingProcedure">
    <w:name w:val="Heading Procedure"/>
    <w:basedOn w:val="HeadingBase"/>
    <w:next w:val="Normal"/>
    <w:rsid w:val="00FB5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627"/>
    <w:pPr>
      <w:spacing w:before="60" w:after="60"/>
    </w:pPr>
  </w:style>
  <w:style w:type="paragraph" w:styleId="ListContinue">
    <w:name w:val="List Continue"/>
    <w:basedOn w:val="List"/>
    <w:rsid w:val="00FB5627"/>
    <w:pPr>
      <w:ind w:firstLine="0"/>
    </w:pPr>
  </w:style>
  <w:style w:type="paragraph" w:customStyle="1" w:styleId="ListNote">
    <w:name w:val="List Note"/>
    <w:basedOn w:val="List"/>
    <w:rsid w:val="00FB5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627"/>
    <w:rPr>
      <w:rFonts w:ascii="Courier New" w:hAnsi="Courier New"/>
    </w:rPr>
  </w:style>
  <w:style w:type="paragraph" w:customStyle="1" w:styleId="NoteBullet">
    <w:name w:val="Note Bullet"/>
    <w:basedOn w:val="Note"/>
    <w:rsid w:val="00FB5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627"/>
    <w:rPr>
      <w:b/>
      <w:smallCaps/>
    </w:rPr>
  </w:style>
  <w:style w:type="paragraph" w:customStyle="1" w:styleId="TableListNumber">
    <w:name w:val="Table List Number"/>
    <w:basedOn w:val="ListNumber"/>
    <w:rsid w:val="00FB5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627"/>
    <w:pPr>
      <w:numPr>
        <w:numId w:val="9"/>
      </w:numPr>
    </w:pPr>
  </w:style>
  <w:style w:type="paragraph" w:customStyle="1" w:styleId="ListAlpha2">
    <w:name w:val="List Alpha 2"/>
    <w:basedOn w:val="List2"/>
    <w:rsid w:val="00FB5627"/>
    <w:pPr>
      <w:numPr>
        <w:numId w:val="8"/>
      </w:numPr>
    </w:pPr>
  </w:style>
  <w:style w:type="paragraph" w:styleId="List2">
    <w:name w:val="List 2"/>
    <w:basedOn w:val="BodyText"/>
    <w:rsid w:val="00FB5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627"/>
    <w:pPr>
      <w:numPr>
        <w:numId w:val="4"/>
      </w:numPr>
    </w:pPr>
  </w:style>
  <w:style w:type="paragraph" w:styleId="ListContinue2">
    <w:name w:val="List Continue 2"/>
    <w:basedOn w:val="List2"/>
    <w:rsid w:val="00FB5627"/>
    <w:pPr>
      <w:ind w:firstLine="0"/>
    </w:pPr>
  </w:style>
  <w:style w:type="paragraph" w:styleId="ListContinue3">
    <w:name w:val="List Continue 3"/>
    <w:basedOn w:val="List3"/>
    <w:rsid w:val="00FB5627"/>
    <w:pPr>
      <w:ind w:left="1021" w:firstLine="0"/>
    </w:pPr>
  </w:style>
  <w:style w:type="paragraph" w:styleId="ListContinue4">
    <w:name w:val="List Continue 4"/>
    <w:basedOn w:val="List4"/>
    <w:rsid w:val="00FB5627"/>
    <w:pPr>
      <w:ind w:firstLine="0"/>
    </w:pPr>
  </w:style>
  <w:style w:type="paragraph" w:styleId="ListContinue5">
    <w:name w:val="List Continue 5"/>
    <w:basedOn w:val="List5"/>
    <w:rsid w:val="00FB5627"/>
    <w:pPr>
      <w:ind w:firstLine="0"/>
    </w:pPr>
  </w:style>
  <w:style w:type="paragraph" w:styleId="ListNumber3">
    <w:name w:val="List Number 3"/>
    <w:basedOn w:val="List3"/>
    <w:rsid w:val="00FB5627"/>
    <w:pPr>
      <w:numPr>
        <w:numId w:val="5"/>
      </w:numPr>
    </w:pPr>
  </w:style>
  <w:style w:type="paragraph" w:styleId="ListNumber4">
    <w:name w:val="List Number 4"/>
    <w:basedOn w:val="List4"/>
    <w:rsid w:val="00FB5627"/>
    <w:pPr>
      <w:numPr>
        <w:numId w:val="6"/>
      </w:numPr>
    </w:pPr>
  </w:style>
  <w:style w:type="paragraph" w:styleId="ListNumber5">
    <w:name w:val="List Number 5"/>
    <w:basedOn w:val="List5"/>
    <w:rsid w:val="00FB5627"/>
    <w:pPr>
      <w:numPr>
        <w:numId w:val="7"/>
      </w:numPr>
    </w:pPr>
  </w:style>
  <w:style w:type="paragraph" w:styleId="BlockText">
    <w:name w:val="Block Text"/>
    <w:basedOn w:val="Normal"/>
    <w:rsid w:val="00FB5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627"/>
    <w:rPr>
      <w:sz w:val="16"/>
      <w:vertAlign w:val="superscript"/>
    </w:rPr>
  </w:style>
  <w:style w:type="character" w:customStyle="1" w:styleId="Symbols">
    <w:name w:val="Symbols"/>
    <w:basedOn w:val="DefaultParagraphFont"/>
    <w:rsid w:val="00FB5627"/>
    <w:rPr>
      <w:rFonts w:ascii="Symbol" w:hAnsi="Symbol"/>
    </w:rPr>
  </w:style>
  <w:style w:type="character" w:customStyle="1" w:styleId="MenuOptions">
    <w:name w:val="Menu Options"/>
    <w:basedOn w:val="DefaultParagraphFont"/>
    <w:rsid w:val="00FB5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627"/>
    <w:rPr>
      <w:b/>
    </w:rPr>
  </w:style>
  <w:style w:type="character" w:customStyle="1" w:styleId="Underlined">
    <w:name w:val="Underlined"/>
    <w:basedOn w:val="DefaultParagraphFont"/>
    <w:rsid w:val="00FB5627"/>
    <w:rPr>
      <w:u w:val="single"/>
    </w:rPr>
  </w:style>
  <w:style w:type="paragraph" w:customStyle="1" w:styleId="TableBodyTextRight">
    <w:name w:val="Table Body Text Right"/>
    <w:basedOn w:val="TableBodyText"/>
    <w:rsid w:val="00FB5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627"/>
    <w:rPr>
      <w:sz w:val="18"/>
    </w:rPr>
  </w:style>
  <w:style w:type="paragraph" w:customStyle="1" w:styleId="BodySmallRight">
    <w:name w:val="Body Small Right"/>
    <w:basedOn w:val="BodyTextRight"/>
    <w:rsid w:val="00FB5627"/>
    <w:rPr>
      <w:sz w:val="18"/>
      <w:szCs w:val="18"/>
    </w:rPr>
  </w:style>
  <w:style w:type="paragraph" w:customStyle="1" w:styleId="MarginEdition">
    <w:name w:val="Margin Edition"/>
    <w:basedOn w:val="MarginNote"/>
    <w:rsid w:val="00FB5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627"/>
    <w:rPr>
      <w:sz w:val="2"/>
      <w:szCs w:val="2"/>
    </w:rPr>
  </w:style>
  <w:style w:type="character" w:customStyle="1" w:styleId="Small">
    <w:name w:val="Small"/>
    <w:basedOn w:val="DefaultParagraphFont"/>
    <w:rsid w:val="00FB5627"/>
    <w:rPr>
      <w:sz w:val="16"/>
    </w:rPr>
  </w:style>
  <w:style w:type="paragraph" w:customStyle="1" w:styleId="WideTable">
    <w:name w:val="Wide Table"/>
    <w:basedOn w:val="Normal"/>
    <w:rsid w:val="00FB5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627"/>
  </w:style>
  <w:style w:type="paragraph" w:styleId="Quote">
    <w:name w:val="Quote"/>
    <w:basedOn w:val="Heading1"/>
    <w:link w:val="QuoteChar"/>
    <w:qFormat/>
    <w:rsid w:val="00FB5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627"/>
    <w:pPr>
      <w:pageBreakBefore/>
    </w:pPr>
  </w:style>
  <w:style w:type="paragraph" w:customStyle="1" w:styleId="Border">
    <w:name w:val="Border"/>
    <w:basedOn w:val="Normal"/>
    <w:qFormat/>
    <w:rsid w:val="00FB5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627"/>
    <w:rPr>
      <w:u w:val="single"/>
    </w:rPr>
  </w:style>
  <w:style w:type="character" w:customStyle="1" w:styleId="BoldandItalics">
    <w:name w:val="Bold and Italics"/>
    <w:qFormat/>
    <w:rsid w:val="00FB5627"/>
    <w:rPr>
      <w:b/>
      <w:i/>
      <w:u w:val="none"/>
    </w:rPr>
  </w:style>
  <w:style w:type="paragraph" w:styleId="BalloonText">
    <w:name w:val="Balloon Text"/>
    <w:basedOn w:val="Normal"/>
    <w:link w:val="BalloonTextChar"/>
    <w:rsid w:val="00FB5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627"/>
    <w:pPr>
      <w:spacing w:before="0" w:after="0"/>
    </w:pPr>
  </w:style>
  <w:style w:type="paragraph" w:customStyle="1" w:styleId="BodyTextBold">
    <w:name w:val="Body Text Bold"/>
    <w:basedOn w:val="BodyText"/>
    <w:qFormat/>
    <w:rsid w:val="00FB5627"/>
    <w:rPr>
      <w:b/>
    </w:rPr>
  </w:style>
  <w:style w:type="character" w:styleId="Hyperlink">
    <w:name w:val="Hyperlink"/>
    <w:basedOn w:val="DefaultParagraphFont"/>
    <w:uiPriority w:val="99"/>
    <w:unhideWhenUsed/>
    <w:rsid w:val="000A3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2601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FNSPIM425 Facilitate recovery and return to life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