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5311" w:rsidP="003453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FNSPAY514 Interpret and apply knowledge of industrial regulations relevant to payroll</w:t>
      </w:r>
      <w:r>
        <w:fldChar w:fldCharType="end"/>
      </w:r>
    </w:p>
    <w:p w:rsidR="00345311" w:rsidP="00345311">
      <w:pPr>
        <w:pStyle w:val="Version"/>
        <w:sectPr w:rsidSect="00C22E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ECC" w:rsidP="00C22ECC">
      <w:pPr>
        <w:pStyle w:val="SuperHeading"/>
      </w:pPr>
      <w:r w:rsidRPr="00C22ECC">
        <w:t>Assessment Requirements for FNSPAY514 Interpret and apply knowledge of industrial regulations relevant to payroll</w:t>
      </w:r>
    </w:p>
    <w:p w:rsidR="00000000" w:rsidRPr="00C22ECC" w:rsidP="00C22ECC">
      <w:pPr>
        <w:pStyle w:val="Heading1"/>
      </w:pPr>
      <w:bookmarkStart w:id="1" w:name="O_1230596"/>
      <w:bookmarkEnd w:id="1"/>
      <w:r w:rsidRPr="00C22E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22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ECC" w:rsidP="00C22ECC">
            <w:pPr>
              <w:pStyle w:val="BodyText"/>
            </w:pPr>
            <w:r w:rsidRPr="00C22EC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ECC">
            <w:pPr>
              <w:pStyle w:val="BodyText"/>
              <w:rPr>
                <w:lang w:val="en-NZ"/>
              </w:rPr>
            </w:pPr>
            <w:r w:rsidRPr="00C22ECC">
              <w:rPr>
                <w:rStyle w:val="SpecialBold"/>
              </w:rPr>
              <w:t>Comments</w:t>
            </w:r>
          </w:p>
        </w:tc>
      </w:tr>
      <w:tr w:rsidTr="00C22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ECC">
            <w:pPr>
              <w:pStyle w:val="BodyText"/>
              <w:rPr>
                <w:lang w:val="en-NZ"/>
              </w:rPr>
            </w:pPr>
            <w:r w:rsidRPr="00C22EC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ECC" w:rsidP="00C22ECC">
            <w:pPr>
              <w:pStyle w:val="BodyText"/>
            </w:pPr>
            <w:r w:rsidRPr="00C22ECC">
              <w:t>This version first released with the FNS Financial Services Training Package Version 8.0.</w:t>
            </w:r>
          </w:p>
          <w:p w:rsidR="00000000" w:rsidRPr="00C22ECC" w:rsidP="00C22ECC">
            <w:pPr>
              <w:pStyle w:val="BodyText"/>
            </w:pPr>
            <w:r w:rsidRPr="00C22ECC">
              <w:t>Supersedes and is equivalent to FNSPAY504 Interpret and apply knowledge of industrial regulations relevant to payroll.</w:t>
            </w:r>
          </w:p>
        </w:tc>
      </w:tr>
    </w:tbl>
    <w:p w:rsidR="00000000" w:rsidRPr="00C22ECC" w:rsidP="00C22ECC">
      <w:pPr>
        <w:pStyle w:val="BodyText"/>
      </w:pPr>
    </w:p>
    <w:p w:rsidR="00000000" w:rsidRPr="00C22ECC" w:rsidP="00C22ECC">
      <w:pPr>
        <w:pStyle w:val="AllowPageBreak"/>
      </w:pPr>
    </w:p>
    <w:p w:rsidR="00000000" w:rsidRPr="00C22ECC" w:rsidP="00C22ECC">
      <w:pPr>
        <w:pStyle w:val="Heading1"/>
      </w:pPr>
      <w:bookmarkStart w:id="2" w:name="O_1230597"/>
      <w:bookmarkEnd w:id="2"/>
      <w:r w:rsidRPr="00C22ECC">
        <w:t>Performance Evidence</w:t>
      </w:r>
    </w:p>
    <w:p w:rsidR="00000000" w:rsidRPr="00C22ECC" w:rsidP="00345311">
      <w:pPr>
        <w:pStyle w:val="BodyText"/>
      </w:pPr>
      <w:r w:rsidRPr="00C22ECC">
        <w:t>The c</w:t>
      </w:r>
      <w:r w:rsidRPr="00C22ECC">
        <w:t>andidate must demonstrate the ability to complete the tasks outlined in the elements, performance criteria and foundation skills of this unit, including evidence of the ability to:</w:t>
      </w:r>
    </w:p>
    <w:p w:rsidR="00000000" w:rsidRPr="00C22ECC" w:rsidP="00C22ECC">
      <w:pPr>
        <w:pStyle w:val="ListBullet"/>
      </w:pPr>
      <w:r w:rsidRPr="00C22ECC">
        <w:t>review at least two different payroll operations and confirm they comply w</w:t>
      </w:r>
      <w:r w:rsidRPr="00C22ECC">
        <w:t>ith applicable industrial regulations.</w:t>
      </w:r>
    </w:p>
    <w:p w:rsidR="00000000" w:rsidRPr="00C22ECC" w:rsidP="00C22ECC">
      <w:pPr>
        <w:pStyle w:val="BodyText"/>
      </w:pPr>
    </w:p>
    <w:p w:rsidR="00000000" w:rsidRPr="00C22ECC" w:rsidP="00345311">
      <w:pPr>
        <w:pStyle w:val="BodyText"/>
      </w:pPr>
      <w:r w:rsidRPr="00C22ECC">
        <w:t>In the course of above, the candidate must:</w:t>
      </w:r>
    </w:p>
    <w:p w:rsidR="00000000" w:rsidRPr="00C22ECC" w:rsidP="00C22ECC">
      <w:pPr>
        <w:pStyle w:val="ListBullet"/>
      </w:pPr>
      <w:r w:rsidRPr="00C22ECC">
        <w:t>conduct research on changed or new legislative requirements and industrial regulations relevant to payroll</w:t>
      </w:r>
    </w:p>
    <w:p w:rsidR="00000000" w:rsidRPr="00C22ECC" w:rsidP="00C22ECC">
      <w:pPr>
        <w:pStyle w:val="ListBullet"/>
      </w:pPr>
      <w:r w:rsidRPr="00C22ECC">
        <w:t>inform relevant stakeholders of changes to payroll operations affected by industrial regulations as a result of monitoring.</w:t>
      </w:r>
    </w:p>
    <w:p w:rsidR="00000000" w:rsidRPr="00C22ECC" w:rsidP="00C22ECC">
      <w:pPr>
        <w:pStyle w:val="AllowPageBreak"/>
      </w:pPr>
    </w:p>
    <w:p w:rsidR="00000000" w:rsidRPr="00C22ECC" w:rsidP="00C22ECC">
      <w:pPr>
        <w:pStyle w:val="Heading1"/>
      </w:pPr>
      <w:bookmarkStart w:id="3" w:name="O_1230598"/>
      <w:bookmarkEnd w:id="3"/>
      <w:r w:rsidRPr="00C22ECC">
        <w:t>Knowledge Evidence</w:t>
      </w:r>
    </w:p>
    <w:p w:rsidR="00000000" w:rsidRPr="00C22ECC" w:rsidP="00345311">
      <w:pPr>
        <w:pStyle w:val="BodyText"/>
      </w:pPr>
      <w:r w:rsidRPr="00C22ECC">
        <w:t>The candidate must be able to demonstrate knowledge to complete the tasks outlined in the elem</w:t>
      </w:r>
      <w:r w:rsidRPr="00C22ECC">
        <w:t>ents, performance criteria and foundation skills of this unit, including knowledge of:</w:t>
      </w:r>
    </w:p>
    <w:p w:rsidR="00000000" w:rsidRPr="00C22ECC" w:rsidP="00C22ECC">
      <w:pPr>
        <w:pStyle w:val="ListBullet"/>
      </w:pPr>
      <w:r w:rsidRPr="00C22ECC">
        <w:t>key features and operating principles of industrial regulations relevant to payroll, including:</w:t>
      </w:r>
    </w:p>
    <w:p w:rsidR="00000000" w:rsidRPr="00C22ECC" w:rsidP="00C22ECC">
      <w:pPr>
        <w:pStyle w:val="ListBullet2"/>
      </w:pPr>
      <w:r w:rsidRPr="00C22ECC">
        <w:t>Fair Work Act</w:t>
      </w:r>
    </w:p>
    <w:p w:rsidR="00000000" w:rsidRPr="00C22ECC" w:rsidP="00C22ECC">
      <w:pPr>
        <w:pStyle w:val="ListBullet2"/>
      </w:pPr>
      <w:r w:rsidRPr="00C22ECC">
        <w:t>modern awards system</w:t>
      </w:r>
    </w:p>
    <w:p w:rsidR="00000000" w:rsidRPr="00C22ECC" w:rsidP="00C22ECC">
      <w:pPr>
        <w:pStyle w:val="ListBullet2"/>
      </w:pPr>
      <w:r w:rsidRPr="00C22ECC">
        <w:t>National Employment Standards</w:t>
      </w:r>
    </w:p>
    <w:p w:rsidR="00000000" w:rsidRPr="00C22ECC" w:rsidP="00C22ECC">
      <w:pPr>
        <w:pStyle w:val="ListBullet2"/>
      </w:pPr>
      <w:r w:rsidRPr="00C22ECC">
        <w:t>state-</w:t>
      </w:r>
      <w:r w:rsidRPr="00C22ECC">
        <w:t>based industrial regulations, including:</w:t>
      </w:r>
    </w:p>
    <w:p w:rsidR="00000000" w:rsidRPr="00C22ECC" w:rsidP="00C22ECC">
      <w:pPr>
        <w:pStyle w:val="ListBullet3"/>
      </w:pPr>
      <w:r w:rsidRPr="00C22ECC">
        <w:t>long service leave entitlements</w:t>
      </w:r>
    </w:p>
    <w:p w:rsidR="00000000" w:rsidRPr="00C22ECC" w:rsidP="00C22ECC">
      <w:pPr>
        <w:pStyle w:val="ListBullet3"/>
      </w:pPr>
      <w:r w:rsidRPr="00C22ECC">
        <w:t>workers compensation entitlements</w:t>
      </w:r>
    </w:p>
    <w:p w:rsidR="00000000" w:rsidRPr="00C22ECC" w:rsidP="00C22ECC">
      <w:pPr>
        <w:pStyle w:val="ListBullet"/>
      </w:pPr>
      <w:r w:rsidRPr="00C22ECC">
        <w:t>impacts of regulations on payroll operations, including how different regulatory instruments interact with each other to impact payroll operations</w:t>
      </w:r>
    </w:p>
    <w:p w:rsidR="00000000" w:rsidRPr="00C22ECC" w:rsidP="00C22ECC">
      <w:pPr>
        <w:pStyle w:val="ListBullet"/>
      </w:pPr>
      <w:r w:rsidRPr="00C22ECC">
        <w:t>organisational policies and procedures required to produce the performance evidence</w:t>
      </w:r>
    </w:p>
    <w:p w:rsidR="00000000" w:rsidRPr="00C22ECC" w:rsidP="00C22ECC">
      <w:pPr>
        <w:pStyle w:val="ListBullet"/>
      </w:pPr>
      <w:r w:rsidRPr="00C22ECC">
        <w:t>roles and responsibilities of key organisations in relation to payroll services, including:</w:t>
      </w:r>
    </w:p>
    <w:p w:rsidR="00000000" w:rsidRPr="00C22ECC" w:rsidP="00C22ECC">
      <w:pPr>
        <w:pStyle w:val="ListBullet2"/>
      </w:pPr>
      <w:r w:rsidRPr="00C22ECC">
        <w:t>Fair Work Commission</w:t>
      </w:r>
    </w:p>
    <w:p w:rsidR="00000000" w:rsidRPr="00C22ECC" w:rsidP="00C22ECC">
      <w:pPr>
        <w:pStyle w:val="ListBullet2"/>
      </w:pPr>
      <w:r w:rsidRPr="00C22ECC">
        <w:t>Fair Work Ombudsman</w:t>
      </w:r>
    </w:p>
    <w:p w:rsidR="00000000" w:rsidRPr="00C22ECC" w:rsidP="00C22ECC">
      <w:pPr>
        <w:pStyle w:val="ListBullet2"/>
      </w:pPr>
      <w:r w:rsidRPr="00C22ECC">
        <w:t>Office of Australian Information Commi</w:t>
      </w:r>
      <w:r w:rsidRPr="00C22ECC">
        <w:t>ssioner</w:t>
      </w:r>
    </w:p>
    <w:p w:rsidR="00000000" w:rsidRPr="00C22ECC" w:rsidP="00C22ECC">
      <w:pPr>
        <w:pStyle w:val="ListBullet2"/>
      </w:pPr>
      <w:r w:rsidRPr="00C22ECC">
        <w:t>state-based industrial regulations regulators</w:t>
      </w:r>
    </w:p>
    <w:p w:rsidR="00000000" w:rsidRPr="00C22ECC" w:rsidP="00C22ECC">
      <w:pPr>
        <w:pStyle w:val="ListBullet"/>
      </w:pPr>
      <w:r w:rsidRPr="00C22ECC">
        <w:t>sources of information on industrial regulations relevant to payroll that can be accessed to maintain currency of knowledge and to seek advice when interpreting regulations, including:</w:t>
      </w:r>
    </w:p>
    <w:p w:rsidR="00000000" w:rsidRPr="00C22ECC" w:rsidP="00C22ECC">
      <w:pPr>
        <w:pStyle w:val="ListBullet2"/>
      </w:pPr>
      <w:r w:rsidRPr="00C22ECC">
        <w:t>websites of above key organisations</w:t>
      </w:r>
    </w:p>
    <w:p w:rsidR="00000000" w:rsidRPr="00C22ECC" w:rsidP="00C22ECC">
      <w:pPr>
        <w:pStyle w:val="ListBullet2"/>
      </w:pPr>
      <w:r w:rsidRPr="00C22ECC">
        <w:t>state government websites</w:t>
      </w:r>
    </w:p>
    <w:p w:rsidR="00000000" w:rsidRPr="00C22ECC" w:rsidP="00C22ECC">
      <w:pPr>
        <w:pStyle w:val="ListBullet2"/>
      </w:pPr>
      <w:r w:rsidRPr="00C22ECC">
        <w:t>industry associations</w:t>
      </w:r>
    </w:p>
    <w:p w:rsidR="00000000" w:rsidRPr="00C22ECC" w:rsidP="00C22ECC">
      <w:pPr>
        <w:pStyle w:val="ListBullet2"/>
      </w:pPr>
      <w:r w:rsidRPr="00C22ECC">
        <w:t>government media releases.</w:t>
      </w:r>
    </w:p>
    <w:p w:rsidR="00000000" w:rsidRPr="00C22ECC" w:rsidP="00C22ECC">
      <w:pPr>
        <w:pStyle w:val="AllowPageBreak"/>
      </w:pPr>
    </w:p>
    <w:p w:rsidR="00000000" w:rsidRPr="00C22ECC" w:rsidP="00C22ECC">
      <w:pPr>
        <w:pStyle w:val="Heading1"/>
      </w:pPr>
      <w:bookmarkStart w:id="4" w:name="O_1230599"/>
      <w:bookmarkEnd w:id="4"/>
      <w:r w:rsidRPr="00C22ECC">
        <w:t>Assessment Conditions</w:t>
      </w:r>
    </w:p>
    <w:p w:rsidR="00000000" w:rsidRPr="00C22ECC" w:rsidP="00345311">
      <w:pPr>
        <w:pStyle w:val="BodyText"/>
      </w:pPr>
      <w:r w:rsidRPr="00C22ECC">
        <w:t>Skills in this unit must be demonstrated in a workplace or simulated environment where the conditions ar</w:t>
      </w:r>
      <w:r w:rsidRPr="00C22ECC">
        <w:t>e typical of those in a working environment in this industry.</w:t>
      </w:r>
    </w:p>
    <w:p w:rsidR="00000000" w:rsidRPr="00C22ECC" w:rsidP="00345311">
      <w:pPr>
        <w:pStyle w:val="BodyText"/>
      </w:pPr>
      <w:r w:rsidRPr="00C22ECC">
        <w:t>This includes access to:</w:t>
      </w:r>
    </w:p>
    <w:p w:rsidR="00000000" w:rsidRPr="00C22ECC" w:rsidP="00C22ECC">
      <w:pPr>
        <w:pStyle w:val="ListBullet"/>
      </w:pPr>
      <w:r w:rsidRPr="00C22ECC">
        <w:t>office equipment, technology, software and consumables required to access information on industrial regulations relevant to payroll, including legislation, regulations,</w:t>
      </w:r>
      <w:r w:rsidRPr="00C22ECC">
        <w:t xml:space="preserve"> and codes of practice.</w:t>
      </w:r>
    </w:p>
    <w:p w:rsidR="00000000" w:rsidRPr="00C22ECC" w:rsidP="00C22ECC">
      <w:pPr>
        <w:pStyle w:val="BodyText"/>
      </w:pPr>
    </w:p>
    <w:p w:rsidR="00000000" w:rsidRPr="00C22ECC" w:rsidP="00345311">
      <w:pPr>
        <w:pStyle w:val="BodyText"/>
      </w:pPr>
      <w:r w:rsidRPr="00C22ECC">
        <w:t>Assessors of this unit must satisfy the requirements for assessors in applicable vocational education and training legislation, frameworks and/or standards.</w:t>
      </w:r>
    </w:p>
    <w:p w:rsidR="00000000" w:rsidRPr="00C22ECC" w:rsidP="00C22ECC">
      <w:pPr>
        <w:pStyle w:val="Heading1"/>
      </w:pPr>
      <w:bookmarkStart w:id="5" w:name="O_1230602"/>
      <w:bookmarkEnd w:id="5"/>
      <w:r w:rsidRPr="00C22ECC">
        <w:t>Links</w:t>
      </w:r>
    </w:p>
    <w:p w:rsidR="00000000" w:rsidRPr="00C22ECC" w:rsidP="00345311">
      <w:pPr>
        <w:pStyle w:val="BodyText"/>
      </w:pPr>
      <w:r w:rsidRPr="00C22EC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F630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22ECC" w:rsidP="00C22ECC"/>
    <w:sectPr w:rsidSect="00C22E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CC" w:rsidRPr="00345311" w:rsidP="003453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311" w:rsidP="00C22E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5311" w:rsidP="00C22E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5311" w:rsidP="00C22E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3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ECC" w:rsidRPr="00345311" w:rsidP="003453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311" w:rsidRPr="002D2AF8" w:rsidP="00C22E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FNSPAY514 Interpret and apply knowledge of industrial regulations relevant to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45311" w:rsidP="00C22E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46BF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DAE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F091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E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E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E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E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E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E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E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E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E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E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E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ECC"/>
  </w:style>
  <w:style w:type="character" w:customStyle="1" w:styleId="Heading1Char">
    <w:name w:val="Heading 1 Char"/>
    <w:basedOn w:val="DefaultParagraphFont"/>
    <w:link w:val="Heading1"/>
    <w:rsid w:val="00C22E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E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E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2EC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2ECC"/>
    <w:rPr>
      <w:b/>
      <w:spacing w:val="0"/>
    </w:rPr>
  </w:style>
  <w:style w:type="paragraph" w:styleId="ListBullet2">
    <w:name w:val="List Bullet 2"/>
    <w:basedOn w:val="List2"/>
    <w:rsid w:val="00C22EC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2E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E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22EC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22E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E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E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E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E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E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E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E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E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E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E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E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E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E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E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2E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E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E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E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2E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E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E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E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E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E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E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E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E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ECC"/>
    <w:rPr>
      <w:i/>
    </w:rPr>
  </w:style>
  <w:style w:type="paragraph" w:styleId="Caption">
    <w:name w:val="caption"/>
    <w:basedOn w:val="BodyText"/>
    <w:next w:val="Normal"/>
    <w:qFormat/>
    <w:rsid w:val="00C22E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E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E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ECC"/>
  </w:style>
  <w:style w:type="paragraph" w:styleId="TableofFigures">
    <w:name w:val="table of figures"/>
    <w:basedOn w:val="Normal"/>
    <w:next w:val="Normal"/>
    <w:semiHidden/>
    <w:rsid w:val="00C22E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EC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22ECC"/>
    <w:rPr>
      <w:rFonts w:ascii="Wingdings" w:hAnsi="Wingdings"/>
    </w:rPr>
  </w:style>
  <w:style w:type="paragraph" w:customStyle="1" w:styleId="TableHeading">
    <w:name w:val="Table Heading"/>
    <w:basedOn w:val="HeadingBase"/>
    <w:rsid w:val="00C22E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ECC"/>
    <w:rPr>
      <w:color w:val="0033CC"/>
      <w:u w:val="none"/>
    </w:rPr>
  </w:style>
  <w:style w:type="paragraph" w:customStyle="1" w:styleId="BodyTextRight">
    <w:name w:val="Body Text Right"/>
    <w:basedOn w:val="BodyText"/>
    <w:rsid w:val="00C22E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E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EC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E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E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E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ECC"/>
    <w:rPr>
      <w:sz w:val="32"/>
    </w:rPr>
  </w:style>
  <w:style w:type="paragraph" w:customStyle="1" w:styleId="HeadingProcedure">
    <w:name w:val="Heading Procedure"/>
    <w:basedOn w:val="HeadingBase"/>
    <w:next w:val="Normal"/>
    <w:rsid w:val="00C22E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ECC"/>
    <w:pPr>
      <w:spacing w:before="60" w:after="60"/>
    </w:pPr>
  </w:style>
  <w:style w:type="paragraph" w:styleId="ListContinue">
    <w:name w:val="List Continue"/>
    <w:basedOn w:val="List"/>
    <w:rsid w:val="00C22ECC"/>
    <w:pPr>
      <w:ind w:firstLine="0"/>
    </w:pPr>
  </w:style>
  <w:style w:type="paragraph" w:customStyle="1" w:styleId="ListNote">
    <w:name w:val="List Note"/>
    <w:basedOn w:val="List"/>
    <w:rsid w:val="00C22E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E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E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ECC"/>
    <w:rPr>
      <w:rFonts w:ascii="Courier New" w:hAnsi="Courier New"/>
    </w:rPr>
  </w:style>
  <w:style w:type="paragraph" w:customStyle="1" w:styleId="NoteBullet">
    <w:name w:val="Note Bullet"/>
    <w:basedOn w:val="Note"/>
    <w:rsid w:val="00C22E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E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E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E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EC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2E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E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ECC"/>
    <w:rPr>
      <w:b/>
      <w:smallCaps/>
    </w:rPr>
  </w:style>
  <w:style w:type="paragraph" w:customStyle="1" w:styleId="TableListNumber">
    <w:name w:val="Table List Number"/>
    <w:basedOn w:val="ListNumber"/>
    <w:rsid w:val="00C22E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E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ECC"/>
    <w:pPr>
      <w:numPr>
        <w:numId w:val="10"/>
      </w:numPr>
    </w:pPr>
  </w:style>
  <w:style w:type="paragraph" w:customStyle="1" w:styleId="ListAlpha2">
    <w:name w:val="List Alpha 2"/>
    <w:basedOn w:val="List2"/>
    <w:rsid w:val="00C22ECC"/>
    <w:pPr>
      <w:numPr>
        <w:numId w:val="9"/>
      </w:numPr>
    </w:pPr>
  </w:style>
  <w:style w:type="paragraph" w:styleId="List2">
    <w:name w:val="List 2"/>
    <w:basedOn w:val="BodyText"/>
    <w:rsid w:val="00C22E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E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E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EC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22EC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22ECC"/>
    <w:pPr>
      <w:numPr>
        <w:numId w:val="5"/>
      </w:numPr>
    </w:pPr>
  </w:style>
  <w:style w:type="paragraph" w:styleId="ListContinue2">
    <w:name w:val="List Continue 2"/>
    <w:basedOn w:val="List2"/>
    <w:rsid w:val="00C22ECC"/>
    <w:pPr>
      <w:ind w:firstLine="0"/>
    </w:pPr>
  </w:style>
  <w:style w:type="paragraph" w:styleId="ListContinue3">
    <w:name w:val="List Continue 3"/>
    <w:basedOn w:val="List3"/>
    <w:rsid w:val="00C22ECC"/>
    <w:pPr>
      <w:ind w:left="1021" w:firstLine="0"/>
    </w:pPr>
  </w:style>
  <w:style w:type="paragraph" w:styleId="ListContinue4">
    <w:name w:val="List Continue 4"/>
    <w:basedOn w:val="List4"/>
    <w:rsid w:val="00C22ECC"/>
    <w:pPr>
      <w:ind w:firstLine="0"/>
    </w:pPr>
  </w:style>
  <w:style w:type="paragraph" w:styleId="ListContinue5">
    <w:name w:val="List Continue 5"/>
    <w:basedOn w:val="List5"/>
    <w:rsid w:val="00C22ECC"/>
    <w:pPr>
      <w:ind w:firstLine="0"/>
    </w:pPr>
  </w:style>
  <w:style w:type="paragraph" w:styleId="ListNumber3">
    <w:name w:val="List Number 3"/>
    <w:basedOn w:val="List3"/>
    <w:rsid w:val="00C22ECC"/>
    <w:pPr>
      <w:numPr>
        <w:numId w:val="6"/>
      </w:numPr>
    </w:pPr>
  </w:style>
  <w:style w:type="paragraph" w:styleId="ListNumber4">
    <w:name w:val="List Number 4"/>
    <w:basedOn w:val="List4"/>
    <w:rsid w:val="00C22ECC"/>
    <w:pPr>
      <w:numPr>
        <w:numId w:val="7"/>
      </w:numPr>
    </w:pPr>
  </w:style>
  <w:style w:type="paragraph" w:styleId="ListNumber5">
    <w:name w:val="List Number 5"/>
    <w:basedOn w:val="List5"/>
    <w:rsid w:val="00C22ECC"/>
    <w:pPr>
      <w:numPr>
        <w:numId w:val="8"/>
      </w:numPr>
    </w:pPr>
  </w:style>
  <w:style w:type="paragraph" w:styleId="BlockText">
    <w:name w:val="Block Text"/>
    <w:basedOn w:val="Normal"/>
    <w:rsid w:val="00C22E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E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ECC"/>
    <w:rPr>
      <w:sz w:val="16"/>
      <w:vertAlign w:val="superscript"/>
    </w:rPr>
  </w:style>
  <w:style w:type="character" w:customStyle="1" w:styleId="Symbols">
    <w:name w:val="Symbols"/>
    <w:basedOn w:val="DefaultParagraphFont"/>
    <w:rsid w:val="00C22ECC"/>
    <w:rPr>
      <w:rFonts w:ascii="Symbol" w:hAnsi="Symbol"/>
    </w:rPr>
  </w:style>
  <w:style w:type="character" w:customStyle="1" w:styleId="MenuOptions">
    <w:name w:val="Menu Options"/>
    <w:basedOn w:val="DefaultParagraphFont"/>
    <w:rsid w:val="00C22E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ECC"/>
    <w:rPr>
      <w:b/>
    </w:rPr>
  </w:style>
  <w:style w:type="character" w:customStyle="1" w:styleId="Underlined">
    <w:name w:val="Underlined"/>
    <w:basedOn w:val="DefaultParagraphFont"/>
    <w:rsid w:val="00C22ECC"/>
    <w:rPr>
      <w:u w:val="single"/>
    </w:rPr>
  </w:style>
  <w:style w:type="paragraph" w:customStyle="1" w:styleId="TableBodyTextRight">
    <w:name w:val="Table Body Text Right"/>
    <w:basedOn w:val="TableBodyText"/>
    <w:rsid w:val="00C22E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ECC"/>
    <w:rPr>
      <w:sz w:val="18"/>
    </w:rPr>
  </w:style>
  <w:style w:type="paragraph" w:customStyle="1" w:styleId="BodySmallRight">
    <w:name w:val="Body Small Right"/>
    <w:basedOn w:val="BodyTextRight"/>
    <w:rsid w:val="00C22ECC"/>
    <w:rPr>
      <w:sz w:val="18"/>
      <w:szCs w:val="18"/>
    </w:rPr>
  </w:style>
  <w:style w:type="paragraph" w:customStyle="1" w:styleId="MarginEdition">
    <w:name w:val="Margin Edition"/>
    <w:basedOn w:val="MarginNote"/>
    <w:rsid w:val="00C22E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ECC"/>
    <w:rPr>
      <w:sz w:val="2"/>
      <w:szCs w:val="2"/>
    </w:rPr>
  </w:style>
  <w:style w:type="character" w:customStyle="1" w:styleId="Small">
    <w:name w:val="Small"/>
    <w:basedOn w:val="DefaultParagraphFont"/>
    <w:rsid w:val="00C22ECC"/>
    <w:rPr>
      <w:sz w:val="16"/>
    </w:rPr>
  </w:style>
  <w:style w:type="paragraph" w:customStyle="1" w:styleId="WideTable">
    <w:name w:val="Wide Table"/>
    <w:basedOn w:val="Normal"/>
    <w:rsid w:val="00C22E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ECC"/>
  </w:style>
  <w:style w:type="paragraph" w:styleId="Quote">
    <w:name w:val="Quote"/>
    <w:basedOn w:val="Heading1"/>
    <w:link w:val="QuoteChar"/>
    <w:qFormat/>
    <w:rsid w:val="00C22E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E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ECC"/>
    <w:pPr>
      <w:pageBreakBefore/>
    </w:pPr>
  </w:style>
  <w:style w:type="paragraph" w:customStyle="1" w:styleId="Border">
    <w:name w:val="Border"/>
    <w:basedOn w:val="Normal"/>
    <w:qFormat/>
    <w:rsid w:val="00C22E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E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E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E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E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E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E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E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E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ECC"/>
    <w:rPr>
      <w:u w:val="single"/>
    </w:rPr>
  </w:style>
  <w:style w:type="character" w:customStyle="1" w:styleId="BoldandItalics">
    <w:name w:val="Bold and Italics"/>
    <w:qFormat/>
    <w:rsid w:val="00C22ECC"/>
    <w:rPr>
      <w:b/>
      <w:i/>
      <w:u w:val="none"/>
    </w:rPr>
  </w:style>
  <w:style w:type="paragraph" w:styleId="BalloonText">
    <w:name w:val="Balloon Text"/>
    <w:basedOn w:val="Normal"/>
    <w:link w:val="BalloonTextChar"/>
    <w:rsid w:val="00C22E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E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E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E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E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E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ECC"/>
    <w:pPr>
      <w:spacing w:before="0" w:after="0"/>
    </w:pPr>
  </w:style>
  <w:style w:type="paragraph" w:customStyle="1" w:styleId="BodyTextBold">
    <w:name w:val="Body Text Bold"/>
    <w:basedOn w:val="BodyText"/>
    <w:qFormat/>
    <w:rsid w:val="00C22ECC"/>
    <w:rPr>
      <w:b/>
    </w:rPr>
  </w:style>
  <w:style w:type="character" w:styleId="Hyperlink">
    <w:name w:val="Hyperlink"/>
    <w:basedOn w:val="DefaultParagraphFont"/>
    <w:uiPriority w:val="99"/>
    <w:unhideWhenUsed/>
    <w:rsid w:val="003453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2796</Characters>
  <Application>Microsoft Office Word</Application>
  <DocSecurity>0</DocSecurity>
  <Lines>75</Lines>
  <Paragraphs>51</Paragraphs>
  <ScaleCrop>false</ScaleCrop>
  <Company>Author-it Software Corporation Ltd.</Company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FNSPAY514 Interpret and apply knowledge of industrial regulations relevant to payroll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