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309" w:rsidP="00F953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FNSPAY511 Process salary packaging arrangements and additional allowances in payroll</w:t>
      </w:r>
      <w:r>
        <w:fldChar w:fldCharType="end"/>
      </w:r>
    </w:p>
    <w:p w:rsidR="00F95309" w:rsidP="00F95309">
      <w:pPr>
        <w:pStyle w:val="Version"/>
        <w:sectPr w:rsidSect="00CB7E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EAF" w:rsidP="00CB7EAF">
      <w:pPr>
        <w:pStyle w:val="SuperHeading"/>
      </w:pPr>
      <w:r w:rsidRPr="00CB7EAF">
        <w:t>Assessment Requirements for FNSPAY511 Process salary packaging arrangements and additional allowances in payroll</w:t>
      </w:r>
    </w:p>
    <w:p w:rsidR="00000000" w:rsidRPr="00CB7EAF" w:rsidP="00CB7EAF">
      <w:pPr>
        <w:pStyle w:val="Heading1"/>
      </w:pPr>
      <w:bookmarkStart w:id="1" w:name="O_1230539"/>
      <w:bookmarkEnd w:id="1"/>
      <w:r w:rsidRPr="00CB7E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B7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EAF" w:rsidP="00CB7EAF">
            <w:pPr>
              <w:pStyle w:val="BodyText"/>
            </w:pPr>
            <w:r w:rsidRPr="00CB7EA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AF">
            <w:pPr>
              <w:pStyle w:val="BodyText"/>
              <w:rPr>
                <w:lang w:val="en-NZ"/>
              </w:rPr>
            </w:pPr>
            <w:r w:rsidRPr="00CB7EAF">
              <w:rPr>
                <w:rStyle w:val="SpecialBold"/>
              </w:rPr>
              <w:t>Comments</w:t>
            </w:r>
          </w:p>
        </w:tc>
      </w:tr>
      <w:tr w:rsidTr="00CB7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AF">
            <w:pPr>
              <w:pStyle w:val="BodyText"/>
              <w:rPr>
                <w:lang w:val="en-NZ"/>
              </w:rPr>
            </w:pPr>
            <w:r w:rsidRPr="00CB7EA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EAF" w:rsidP="00CB7EAF">
            <w:pPr>
              <w:pStyle w:val="BodyText"/>
            </w:pPr>
            <w:r w:rsidRPr="00CB7EAF">
              <w:t>This version first released with the FNS Financial Services Training Package Version 8.0.</w:t>
            </w:r>
          </w:p>
          <w:p w:rsidR="00000000" w:rsidRPr="00CB7EAF" w:rsidP="00CB7EAF">
            <w:pPr>
              <w:pStyle w:val="BodyText"/>
            </w:pPr>
            <w:r w:rsidRPr="00CB7EAF">
              <w:t>Supersedes and is equivalent to FNSPAY501 Process salary packaging arrangements and additional allowances in payroll.</w:t>
            </w:r>
          </w:p>
        </w:tc>
      </w:tr>
    </w:tbl>
    <w:p w:rsidR="00000000" w:rsidRPr="00CB7EAF" w:rsidP="00CB7EAF">
      <w:pPr>
        <w:pStyle w:val="BodyText"/>
      </w:pPr>
    </w:p>
    <w:p w:rsidR="00000000" w:rsidRPr="00CB7EAF" w:rsidP="00CB7EAF">
      <w:pPr>
        <w:pStyle w:val="AllowPageBreak"/>
      </w:pPr>
    </w:p>
    <w:p w:rsidR="00000000" w:rsidRPr="00CB7EAF" w:rsidP="00CB7EAF">
      <w:pPr>
        <w:pStyle w:val="Heading1"/>
      </w:pPr>
      <w:bookmarkStart w:id="2" w:name="O_1230540"/>
      <w:bookmarkEnd w:id="2"/>
      <w:r w:rsidRPr="00CB7EAF">
        <w:t>Performance Evidence</w:t>
      </w:r>
    </w:p>
    <w:p w:rsidR="00000000" w:rsidRPr="00CB7EAF" w:rsidP="00F95309">
      <w:pPr>
        <w:pStyle w:val="BodyText"/>
      </w:pPr>
      <w:r w:rsidRPr="00CB7EAF">
        <w:t>The ca</w:t>
      </w:r>
      <w:r w:rsidRPr="00CB7EAF">
        <w:t>ndidate must demonstrate the ability to complete the tasks outlined in the elements, performance criteria and foundation skills of this unit, including evidence of the ability to:</w:t>
      </w:r>
    </w:p>
    <w:p w:rsidR="00000000" w:rsidRPr="00CB7EAF" w:rsidP="00CB7EAF">
      <w:pPr>
        <w:pStyle w:val="ListBullet"/>
      </w:pPr>
      <w:r w:rsidRPr="00CB7EAF">
        <w:t>process salary packaging arrangements and additional allowances in payroll,</w:t>
      </w:r>
      <w:r w:rsidRPr="00CB7EAF">
        <w:t xml:space="preserve"> each on at least three occasions.</w:t>
      </w:r>
    </w:p>
    <w:p w:rsidR="00000000" w:rsidRPr="00CB7EAF" w:rsidP="00CB7EAF">
      <w:pPr>
        <w:pStyle w:val="BodyText"/>
      </w:pPr>
    </w:p>
    <w:p w:rsidR="00000000" w:rsidRPr="00CB7EAF" w:rsidP="00F95309">
      <w:pPr>
        <w:pStyle w:val="BodyText"/>
      </w:pPr>
      <w:r w:rsidRPr="00CB7EAF">
        <w:t>In the course of the above, the candidate must:</w:t>
      </w:r>
    </w:p>
    <w:p w:rsidR="00000000" w:rsidRPr="00CB7EAF" w:rsidP="00CB7EAF">
      <w:pPr>
        <w:pStyle w:val="ListBullet"/>
      </w:pPr>
      <w:r w:rsidRPr="00CB7EAF">
        <w:t>confirm compliance of salary packaging arrangements and additional allowances with applicable regulatory requirements and organisational policies and procedures.</w:t>
      </w:r>
    </w:p>
    <w:p w:rsidR="00000000" w:rsidRPr="00CB7EAF" w:rsidP="00CB7EAF">
      <w:pPr>
        <w:pStyle w:val="AllowPageBreak"/>
      </w:pPr>
    </w:p>
    <w:p w:rsidR="00000000" w:rsidRPr="00CB7EAF" w:rsidP="00CB7EAF">
      <w:pPr>
        <w:pStyle w:val="Heading1"/>
      </w:pPr>
      <w:bookmarkStart w:id="3" w:name="O_1230541"/>
      <w:bookmarkEnd w:id="3"/>
      <w:r w:rsidRPr="00CB7EAF">
        <w:t>Knowledge Evidence</w:t>
      </w:r>
    </w:p>
    <w:p w:rsidR="00000000" w:rsidRPr="00CB7EAF" w:rsidP="00F95309">
      <w:pPr>
        <w:pStyle w:val="BodyText"/>
      </w:pPr>
      <w:r w:rsidRPr="00CB7EAF">
        <w:t>The candidate must be able to demonstrate knowledge to complete the tasks outlined in the elements, performance criteria and foundation skills of this unit, including knowledge of:</w:t>
      </w:r>
    </w:p>
    <w:p w:rsidR="00000000" w:rsidRPr="00CB7EAF" w:rsidP="00CB7EAF">
      <w:pPr>
        <w:pStyle w:val="ListBullet"/>
      </w:pPr>
      <w:r w:rsidRPr="00CB7EAF">
        <w:t xml:space="preserve">legislative, regulatory and taxation </w:t>
      </w:r>
      <w:r w:rsidRPr="00CB7EAF">
        <w:t>system requirements relevant to salary packaging arrangements, additional allowances and issuing income statements using Single Touch Payroll</w:t>
      </w:r>
    </w:p>
    <w:p w:rsidR="00000000" w:rsidRPr="00CB7EAF" w:rsidP="00CB7EAF">
      <w:pPr>
        <w:pStyle w:val="ListBullet"/>
      </w:pPr>
      <w:r w:rsidRPr="00CB7EAF">
        <w:t>benefits and costs to organisations and employees of salary packaging arrangements</w:t>
      </w:r>
    </w:p>
    <w:p w:rsidR="00000000" w:rsidRPr="00CB7EAF" w:rsidP="00CB7EAF">
      <w:pPr>
        <w:pStyle w:val="ListBullet"/>
      </w:pPr>
      <w:r w:rsidRPr="00CB7EAF">
        <w:t xml:space="preserve">items to be included in salary </w:t>
      </w:r>
      <w:r w:rsidRPr="00CB7EAF">
        <w:t>packaging options, including:</w:t>
      </w:r>
    </w:p>
    <w:p w:rsidR="00000000" w:rsidRPr="00CB7EAF" w:rsidP="00CB7EAF">
      <w:pPr>
        <w:pStyle w:val="ListBullet2"/>
      </w:pPr>
      <w:r w:rsidRPr="00CB7EAF">
        <w:t>impact of options on assessable income</w:t>
      </w:r>
    </w:p>
    <w:p w:rsidR="00000000" w:rsidRPr="00CB7EAF" w:rsidP="00CB7EAF">
      <w:pPr>
        <w:pStyle w:val="ListBullet2"/>
      </w:pPr>
      <w:r w:rsidRPr="00CB7EAF">
        <w:t>employment conditions</w:t>
      </w:r>
    </w:p>
    <w:p w:rsidR="00000000" w:rsidRPr="00CB7EAF" w:rsidP="00CB7EAF">
      <w:pPr>
        <w:pStyle w:val="ListBullet"/>
      </w:pPr>
      <w:r w:rsidRPr="00CB7EAF">
        <w:t>different arrangements for salary packaging, including:</w:t>
      </w:r>
    </w:p>
    <w:p w:rsidR="00000000" w:rsidRPr="00CB7EAF" w:rsidP="00CB7EAF">
      <w:pPr>
        <w:pStyle w:val="ListBullet2"/>
      </w:pPr>
      <w:r w:rsidRPr="00CB7EAF">
        <w:t>gross salary plus benefits</w:t>
      </w:r>
    </w:p>
    <w:p w:rsidR="00000000" w:rsidRPr="00CB7EAF" w:rsidP="00CB7EAF">
      <w:pPr>
        <w:pStyle w:val="ListBullet2"/>
      </w:pPr>
      <w:r w:rsidRPr="00CB7EAF">
        <w:t>total employment costing</w:t>
      </w:r>
    </w:p>
    <w:p w:rsidR="00000000" w:rsidRPr="00CB7EAF" w:rsidP="00CB7EAF">
      <w:pPr>
        <w:pStyle w:val="ListBullet"/>
      </w:pPr>
      <w:r w:rsidRPr="00CB7EAF">
        <w:t>common benefits that can be included in salary packag</w:t>
      </w:r>
      <w:r w:rsidRPr="00CB7EAF">
        <w:t>ing arrangements, including:</w:t>
      </w:r>
    </w:p>
    <w:p w:rsidR="00000000" w:rsidRPr="00CB7EAF" w:rsidP="00CB7EAF">
      <w:pPr>
        <w:pStyle w:val="ListBullet2"/>
      </w:pPr>
      <w:r w:rsidRPr="00CB7EAF">
        <w:t>fringe benefits</w:t>
      </w:r>
    </w:p>
    <w:p w:rsidR="00000000" w:rsidRPr="00CB7EAF" w:rsidP="00CB7EAF">
      <w:pPr>
        <w:pStyle w:val="ListBullet2"/>
      </w:pPr>
      <w:r w:rsidRPr="00CB7EAF">
        <w:t>exempt benefits</w:t>
      </w:r>
    </w:p>
    <w:p w:rsidR="00000000" w:rsidRPr="00CB7EAF" w:rsidP="00CB7EAF">
      <w:pPr>
        <w:pStyle w:val="ListBullet2"/>
      </w:pPr>
      <w:r w:rsidRPr="00CB7EAF">
        <w:t>concessional benefits</w:t>
      </w:r>
    </w:p>
    <w:p w:rsidR="00000000" w:rsidRPr="00CB7EAF" w:rsidP="00CB7EAF">
      <w:pPr>
        <w:pStyle w:val="ListBullet2"/>
      </w:pPr>
      <w:r w:rsidRPr="00CB7EAF">
        <w:t>novated lease arrangements</w:t>
      </w:r>
    </w:p>
    <w:p w:rsidR="00000000" w:rsidRPr="00CB7EAF" w:rsidP="00CB7EAF">
      <w:pPr>
        <w:pStyle w:val="ListBullet2"/>
      </w:pPr>
      <w:r w:rsidRPr="00CB7EAF">
        <w:t>purchased leave arrangements</w:t>
      </w:r>
    </w:p>
    <w:p w:rsidR="00000000" w:rsidRPr="00CB7EAF" w:rsidP="00CB7EAF">
      <w:pPr>
        <w:pStyle w:val="ListBullet2"/>
      </w:pPr>
      <w:r w:rsidRPr="00CB7EAF">
        <w:t>superannuation contributions</w:t>
      </w:r>
    </w:p>
    <w:p w:rsidR="00000000" w:rsidRPr="00CB7EAF" w:rsidP="00CB7EAF">
      <w:pPr>
        <w:pStyle w:val="ListBullet"/>
      </w:pPr>
      <w:r w:rsidRPr="00CB7EAF">
        <w:t>common types of additional allowances, including:</w:t>
      </w:r>
    </w:p>
    <w:p w:rsidR="00000000" w:rsidRPr="00CB7EAF" w:rsidP="00CB7EAF">
      <w:pPr>
        <w:pStyle w:val="ListBullet2"/>
      </w:pPr>
      <w:r w:rsidRPr="00CB7EAF">
        <w:t>car allowances</w:t>
      </w:r>
    </w:p>
    <w:p w:rsidR="00000000" w:rsidRPr="00CB7EAF" w:rsidP="00CB7EAF">
      <w:pPr>
        <w:pStyle w:val="ListBullet2"/>
      </w:pPr>
      <w:r w:rsidRPr="00CB7EAF">
        <w:t>living away from home allowances (LAFHA)</w:t>
      </w:r>
    </w:p>
    <w:p w:rsidR="00000000" w:rsidRPr="00CB7EAF" w:rsidP="00CB7EAF">
      <w:pPr>
        <w:pStyle w:val="ListBullet"/>
      </w:pPr>
      <w:r w:rsidRPr="00CB7EAF">
        <w:t>external and organisational sources that can be accessed for additional information on salary packaging arrangements and additional allowances</w:t>
      </w:r>
    </w:p>
    <w:p w:rsidR="00000000" w:rsidRPr="00CB7EAF" w:rsidP="00CB7EAF">
      <w:pPr>
        <w:pStyle w:val="ListBullet"/>
      </w:pPr>
      <w:r w:rsidRPr="00CB7EAF">
        <w:t>organisational requirements and methods for issuing income statements u</w:t>
      </w:r>
      <w:r w:rsidRPr="00CB7EAF">
        <w:t>sing Single Touch Payroll</w:t>
      </w:r>
    </w:p>
    <w:p w:rsidR="00000000" w:rsidRPr="00CB7EAF" w:rsidP="00CB7EAF">
      <w:pPr>
        <w:pStyle w:val="ListBullet"/>
      </w:pPr>
      <w:r w:rsidRPr="00CB7EAF">
        <w:t>required sources of information for identifying additional allowances, including:</w:t>
      </w:r>
    </w:p>
    <w:p w:rsidR="00000000" w:rsidRPr="00CB7EAF" w:rsidP="00CB7EAF">
      <w:pPr>
        <w:pStyle w:val="ListBullet2"/>
      </w:pPr>
      <w:r w:rsidRPr="00CB7EAF">
        <w:t>employment contracts</w:t>
      </w:r>
    </w:p>
    <w:p w:rsidR="00000000" w:rsidRPr="00CB7EAF" w:rsidP="00CB7EAF">
      <w:pPr>
        <w:pStyle w:val="ListBullet2"/>
      </w:pPr>
      <w:r w:rsidRPr="00CB7EAF">
        <w:t>salary sacrifice agreements</w:t>
      </w:r>
    </w:p>
    <w:p w:rsidR="00000000" w:rsidRPr="00CB7EAF" w:rsidP="00CB7EAF">
      <w:pPr>
        <w:pStyle w:val="ListBullet2"/>
      </w:pPr>
      <w:r w:rsidRPr="00CB7EAF">
        <w:t>novated lease agreements</w:t>
      </w:r>
    </w:p>
    <w:p w:rsidR="00000000" w:rsidRPr="00CB7EAF" w:rsidP="00CB7EAF">
      <w:pPr>
        <w:pStyle w:val="ListBullet2"/>
      </w:pPr>
      <w:r w:rsidRPr="00CB7EAF">
        <w:t>purchased leave agreements</w:t>
      </w:r>
    </w:p>
    <w:p w:rsidR="00000000" w:rsidRPr="00CB7EAF" w:rsidP="00CB7EAF">
      <w:pPr>
        <w:pStyle w:val="ListBullet2"/>
      </w:pPr>
      <w:r w:rsidRPr="00CB7EAF">
        <w:t>organisational policies and procedures.</w:t>
      </w:r>
    </w:p>
    <w:p w:rsidR="00000000" w:rsidRPr="00CB7EAF" w:rsidP="00CB7EAF">
      <w:pPr>
        <w:pStyle w:val="AllowPageBreak"/>
      </w:pPr>
    </w:p>
    <w:p w:rsidR="00000000" w:rsidRPr="00CB7EAF" w:rsidP="00CB7EAF">
      <w:pPr>
        <w:pStyle w:val="Heading1"/>
      </w:pPr>
      <w:bookmarkStart w:id="4" w:name="O_1230542"/>
      <w:bookmarkEnd w:id="4"/>
      <w:r w:rsidRPr="00CB7EAF">
        <w:t>Assessment Conditions</w:t>
      </w:r>
    </w:p>
    <w:p w:rsidR="00000000" w:rsidRPr="00CB7EAF" w:rsidP="00F95309">
      <w:pPr>
        <w:pStyle w:val="BodyText"/>
      </w:pPr>
      <w:r w:rsidRPr="00CB7EAF">
        <w:t>Skills in this unit must be demonstrated in a workplace or simulated environment where the conditions are typical of those in a working environment in this industry.</w:t>
      </w:r>
    </w:p>
    <w:p w:rsidR="00000000" w:rsidRPr="00CB7EAF" w:rsidP="00F95309">
      <w:pPr>
        <w:pStyle w:val="BodyText"/>
      </w:pPr>
      <w:r w:rsidRPr="00CB7EAF">
        <w:t>This includes access to:</w:t>
      </w:r>
    </w:p>
    <w:p w:rsidR="00000000" w:rsidRPr="00CB7EAF" w:rsidP="00CB7EAF">
      <w:pPr>
        <w:pStyle w:val="ListBullet"/>
      </w:pPr>
      <w:r w:rsidRPr="00CB7EAF">
        <w:t>office equipment, techno</w:t>
      </w:r>
      <w:r w:rsidRPr="00CB7EAF">
        <w:t>logy, software and consumables required to process salary packaging arrangements and additional allowances for employees in payroll systems, including payroll system</w:t>
      </w:r>
    </w:p>
    <w:p w:rsidR="00000000" w:rsidRPr="00CB7EAF" w:rsidP="00CB7EAF">
      <w:pPr>
        <w:pStyle w:val="ListBullet"/>
      </w:pPr>
      <w:r w:rsidRPr="00CB7EAF">
        <w:t>organisational policies and procedures.</w:t>
      </w:r>
    </w:p>
    <w:p w:rsidR="00000000" w:rsidRPr="00CB7EAF" w:rsidP="00CB7EAF">
      <w:pPr>
        <w:pStyle w:val="BodyText"/>
      </w:pPr>
    </w:p>
    <w:p w:rsidR="00000000" w:rsidRPr="00CB7EAF" w:rsidP="00F95309">
      <w:pPr>
        <w:pStyle w:val="BodyText"/>
      </w:pPr>
      <w:r w:rsidRPr="00CB7EAF">
        <w:t>Assessors of this unit must satisfy the requireme</w:t>
      </w:r>
      <w:r w:rsidRPr="00CB7EAF">
        <w:t>nts for assessors in applicable vocational education and training legislation, frameworks and/or standards.</w:t>
      </w:r>
    </w:p>
    <w:p w:rsidR="00000000" w:rsidRPr="00CB7EAF" w:rsidP="00CB7EAF">
      <w:pPr>
        <w:pStyle w:val="Heading1"/>
      </w:pPr>
      <w:bookmarkStart w:id="5" w:name="O_1230545"/>
      <w:bookmarkEnd w:id="5"/>
      <w:r w:rsidRPr="00CB7EAF">
        <w:t>Links</w:t>
      </w:r>
    </w:p>
    <w:p w:rsidR="00000000" w:rsidRPr="00CB7EAF" w:rsidP="00F95309">
      <w:pPr>
        <w:pStyle w:val="BodyText"/>
      </w:pPr>
      <w:r w:rsidRPr="00CB7E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34D0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B7EAF" w:rsidP="00CB7EAF"/>
    <w:sectPr w:rsidSect="00CB7E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AF" w:rsidRPr="00F95309" w:rsidP="00F953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09" w:rsidP="00CB7E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5309" w:rsidP="00CB7E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5309" w:rsidP="00CB7E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EAF" w:rsidRPr="00F95309" w:rsidP="00F953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09" w:rsidRPr="002D2AF8" w:rsidP="00CB7E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FNSPAY511 Process salary packaging arrangements and additional allowances in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95309" w:rsidP="00CB7E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04C9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B220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708B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E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E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E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E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E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E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E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E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E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E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E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EAF"/>
  </w:style>
  <w:style w:type="character" w:customStyle="1" w:styleId="Heading1Char">
    <w:name w:val="Heading 1 Char"/>
    <w:basedOn w:val="DefaultParagraphFont"/>
    <w:link w:val="Heading1"/>
    <w:rsid w:val="00CB7E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E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E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E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EAF"/>
    <w:rPr>
      <w:b/>
      <w:spacing w:val="0"/>
    </w:rPr>
  </w:style>
  <w:style w:type="paragraph" w:styleId="ListBullet2">
    <w:name w:val="List Bullet 2"/>
    <w:basedOn w:val="List2"/>
    <w:rsid w:val="00CB7E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7E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E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E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E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E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E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E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E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E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E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E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E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E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E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E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E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E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E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E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E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E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E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E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E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E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E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E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E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E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E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EAF"/>
    <w:rPr>
      <w:i/>
    </w:rPr>
  </w:style>
  <w:style w:type="paragraph" w:styleId="Caption">
    <w:name w:val="caption"/>
    <w:basedOn w:val="BodyText"/>
    <w:next w:val="Normal"/>
    <w:qFormat/>
    <w:rsid w:val="00CB7E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E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E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EAF"/>
  </w:style>
  <w:style w:type="paragraph" w:styleId="TableofFigures">
    <w:name w:val="table of figures"/>
    <w:basedOn w:val="Normal"/>
    <w:next w:val="Normal"/>
    <w:semiHidden/>
    <w:rsid w:val="00CB7E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E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7EAF"/>
    <w:rPr>
      <w:rFonts w:ascii="Wingdings" w:hAnsi="Wingdings"/>
    </w:rPr>
  </w:style>
  <w:style w:type="paragraph" w:customStyle="1" w:styleId="TableHeading">
    <w:name w:val="Table Heading"/>
    <w:basedOn w:val="HeadingBase"/>
    <w:rsid w:val="00CB7E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EAF"/>
    <w:rPr>
      <w:color w:val="0033CC"/>
      <w:u w:val="none"/>
    </w:rPr>
  </w:style>
  <w:style w:type="paragraph" w:customStyle="1" w:styleId="BodyTextRight">
    <w:name w:val="Body Text Right"/>
    <w:basedOn w:val="BodyText"/>
    <w:rsid w:val="00CB7E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E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E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E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E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E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EAF"/>
    <w:rPr>
      <w:sz w:val="32"/>
    </w:rPr>
  </w:style>
  <w:style w:type="paragraph" w:customStyle="1" w:styleId="HeadingProcedure">
    <w:name w:val="Heading Procedure"/>
    <w:basedOn w:val="HeadingBase"/>
    <w:next w:val="Normal"/>
    <w:rsid w:val="00CB7E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EAF"/>
    <w:pPr>
      <w:spacing w:before="60" w:after="60"/>
    </w:pPr>
  </w:style>
  <w:style w:type="paragraph" w:styleId="ListContinue">
    <w:name w:val="List Continue"/>
    <w:basedOn w:val="List"/>
    <w:rsid w:val="00CB7EAF"/>
    <w:pPr>
      <w:ind w:firstLine="0"/>
    </w:pPr>
  </w:style>
  <w:style w:type="paragraph" w:customStyle="1" w:styleId="ListNote">
    <w:name w:val="List Note"/>
    <w:basedOn w:val="List"/>
    <w:rsid w:val="00CB7E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E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E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EAF"/>
    <w:rPr>
      <w:rFonts w:ascii="Courier New" w:hAnsi="Courier New"/>
    </w:rPr>
  </w:style>
  <w:style w:type="paragraph" w:customStyle="1" w:styleId="NoteBullet">
    <w:name w:val="Note Bullet"/>
    <w:basedOn w:val="Note"/>
    <w:rsid w:val="00CB7E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E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E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E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E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7E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E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EAF"/>
    <w:rPr>
      <w:b/>
      <w:smallCaps/>
    </w:rPr>
  </w:style>
  <w:style w:type="paragraph" w:customStyle="1" w:styleId="TableListNumber">
    <w:name w:val="Table List Number"/>
    <w:basedOn w:val="ListNumber"/>
    <w:rsid w:val="00CB7E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E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EAF"/>
    <w:pPr>
      <w:numPr>
        <w:numId w:val="9"/>
      </w:numPr>
    </w:pPr>
  </w:style>
  <w:style w:type="paragraph" w:customStyle="1" w:styleId="ListAlpha2">
    <w:name w:val="List Alpha 2"/>
    <w:basedOn w:val="List2"/>
    <w:rsid w:val="00CB7EAF"/>
    <w:pPr>
      <w:numPr>
        <w:numId w:val="8"/>
      </w:numPr>
    </w:pPr>
  </w:style>
  <w:style w:type="paragraph" w:styleId="List2">
    <w:name w:val="List 2"/>
    <w:basedOn w:val="BodyText"/>
    <w:rsid w:val="00CB7E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E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E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E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E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E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7EAF"/>
    <w:pPr>
      <w:numPr>
        <w:numId w:val="4"/>
      </w:numPr>
    </w:pPr>
  </w:style>
  <w:style w:type="paragraph" w:styleId="ListContinue2">
    <w:name w:val="List Continue 2"/>
    <w:basedOn w:val="List2"/>
    <w:rsid w:val="00CB7EAF"/>
    <w:pPr>
      <w:ind w:firstLine="0"/>
    </w:pPr>
  </w:style>
  <w:style w:type="paragraph" w:styleId="ListContinue3">
    <w:name w:val="List Continue 3"/>
    <w:basedOn w:val="List3"/>
    <w:rsid w:val="00CB7EAF"/>
    <w:pPr>
      <w:ind w:left="1021" w:firstLine="0"/>
    </w:pPr>
  </w:style>
  <w:style w:type="paragraph" w:styleId="ListContinue4">
    <w:name w:val="List Continue 4"/>
    <w:basedOn w:val="List4"/>
    <w:rsid w:val="00CB7EAF"/>
    <w:pPr>
      <w:ind w:firstLine="0"/>
    </w:pPr>
  </w:style>
  <w:style w:type="paragraph" w:styleId="ListContinue5">
    <w:name w:val="List Continue 5"/>
    <w:basedOn w:val="List5"/>
    <w:rsid w:val="00CB7EAF"/>
    <w:pPr>
      <w:ind w:firstLine="0"/>
    </w:pPr>
  </w:style>
  <w:style w:type="paragraph" w:styleId="ListNumber3">
    <w:name w:val="List Number 3"/>
    <w:basedOn w:val="List3"/>
    <w:rsid w:val="00CB7EAF"/>
    <w:pPr>
      <w:numPr>
        <w:numId w:val="5"/>
      </w:numPr>
    </w:pPr>
  </w:style>
  <w:style w:type="paragraph" w:styleId="ListNumber4">
    <w:name w:val="List Number 4"/>
    <w:basedOn w:val="List4"/>
    <w:rsid w:val="00CB7EAF"/>
    <w:pPr>
      <w:numPr>
        <w:numId w:val="6"/>
      </w:numPr>
    </w:pPr>
  </w:style>
  <w:style w:type="paragraph" w:styleId="ListNumber5">
    <w:name w:val="List Number 5"/>
    <w:basedOn w:val="List5"/>
    <w:rsid w:val="00CB7EAF"/>
    <w:pPr>
      <w:numPr>
        <w:numId w:val="7"/>
      </w:numPr>
    </w:pPr>
  </w:style>
  <w:style w:type="paragraph" w:styleId="BlockText">
    <w:name w:val="Block Text"/>
    <w:basedOn w:val="Normal"/>
    <w:rsid w:val="00CB7E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E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EAF"/>
    <w:rPr>
      <w:sz w:val="16"/>
      <w:vertAlign w:val="superscript"/>
    </w:rPr>
  </w:style>
  <w:style w:type="character" w:customStyle="1" w:styleId="Symbols">
    <w:name w:val="Symbols"/>
    <w:basedOn w:val="DefaultParagraphFont"/>
    <w:rsid w:val="00CB7EAF"/>
    <w:rPr>
      <w:rFonts w:ascii="Symbol" w:hAnsi="Symbol"/>
    </w:rPr>
  </w:style>
  <w:style w:type="character" w:customStyle="1" w:styleId="MenuOptions">
    <w:name w:val="Menu Options"/>
    <w:basedOn w:val="DefaultParagraphFont"/>
    <w:rsid w:val="00CB7E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EAF"/>
    <w:rPr>
      <w:b/>
    </w:rPr>
  </w:style>
  <w:style w:type="character" w:customStyle="1" w:styleId="Underlined">
    <w:name w:val="Underlined"/>
    <w:basedOn w:val="DefaultParagraphFont"/>
    <w:rsid w:val="00CB7EAF"/>
    <w:rPr>
      <w:u w:val="single"/>
    </w:rPr>
  </w:style>
  <w:style w:type="paragraph" w:customStyle="1" w:styleId="TableBodyTextRight">
    <w:name w:val="Table Body Text Right"/>
    <w:basedOn w:val="TableBodyText"/>
    <w:rsid w:val="00CB7E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EAF"/>
    <w:rPr>
      <w:sz w:val="18"/>
    </w:rPr>
  </w:style>
  <w:style w:type="paragraph" w:customStyle="1" w:styleId="BodySmallRight">
    <w:name w:val="Body Small Right"/>
    <w:basedOn w:val="BodyTextRight"/>
    <w:rsid w:val="00CB7EAF"/>
    <w:rPr>
      <w:sz w:val="18"/>
      <w:szCs w:val="18"/>
    </w:rPr>
  </w:style>
  <w:style w:type="paragraph" w:customStyle="1" w:styleId="MarginEdition">
    <w:name w:val="Margin Edition"/>
    <w:basedOn w:val="MarginNote"/>
    <w:rsid w:val="00CB7E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EAF"/>
    <w:rPr>
      <w:sz w:val="2"/>
      <w:szCs w:val="2"/>
    </w:rPr>
  </w:style>
  <w:style w:type="character" w:customStyle="1" w:styleId="Small">
    <w:name w:val="Small"/>
    <w:basedOn w:val="DefaultParagraphFont"/>
    <w:rsid w:val="00CB7EAF"/>
    <w:rPr>
      <w:sz w:val="16"/>
    </w:rPr>
  </w:style>
  <w:style w:type="paragraph" w:customStyle="1" w:styleId="WideTable">
    <w:name w:val="Wide Table"/>
    <w:basedOn w:val="Normal"/>
    <w:rsid w:val="00CB7E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EAF"/>
  </w:style>
  <w:style w:type="paragraph" w:styleId="Quote">
    <w:name w:val="Quote"/>
    <w:basedOn w:val="Heading1"/>
    <w:link w:val="QuoteChar"/>
    <w:qFormat/>
    <w:rsid w:val="00CB7E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E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EAF"/>
    <w:pPr>
      <w:pageBreakBefore/>
    </w:pPr>
  </w:style>
  <w:style w:type="paragraph" w:customStyle="1" w:styleId="Border">
    <w:name w:val="Border"/>
    <w:basedOn w:val="Normal"/>
    <w:qFormat/>
    <w:rsid w:val="00CB7E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E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E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E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E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E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E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E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E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EAF"/>
    <w:rPr>
      <w:u w:val="single"/>
    </w:rPr>
  </w:style>
  <w:style w:type="character" w:customStyle="1" w:styleId="BoldandItalics">
    <w:name w:val="Bold and Italics"/>
    <w:qFormat/>
    <w:rsid w:val="00CB7EAF"/>
    <w:rPr>
      <w:b/>
      <w:i/>
      <w:u w:val="none"/>
    </w:rPr>
  </w:style>
  <w:style w:type="paragraph" w:styleId="BalloonText">
    <w:name w:val="Balloon Text"/>
    <w:basedOn w:val="Normal"/>
    <w:link w:val="BalloonTextChar"/>
    <w:rsid w:val="00CB7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E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E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E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E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E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EAF"/>
    <w:pPr>
      <w:spacing w:before="0" w:after="0"/>
    </w:pPr>
  </w:style>
  <w:style w:type="paragraph" w:customStyle="1" w:styleId="BodyTextBold">
    <w:name w:val="Body Text Bold"/>
    <w:basedOn w:val="BodyText"/>
    <w:qFormat/>
    <w:rsid w:val="00CB7EAF"/>
    <w:rPr>
      <w:b/>
    </w:rPr>
  </w:style>
  <w:style w:type="character" w:styleId="Hyperlink">
    <w:name w:val="Hyperlink"/>
    <w:basedOn w:val="DefaultParagraphFont"/>
    <w:uiPriority w:val="99"/>
    <w:unhideWhenUsed/>
    <w:rsid w:val="00F953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3004</Characters>
  <Application>Microsoft Office Word</Application>
  <DocSecurity>0</DocSecurity>
  <Lines>81</Lines>
  <Paragraphs>59</Paragraphs>
  <ScaleCrop>false</ScaleCrop>
  <Company>Author-it Software Corporation Ltd.</Company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FNSPAY511 Process salary packaging arrangements and additional allowances in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