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6CF" w:rsidP="000D76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FNSPAY505 Interpret and apply knowledge of taxation systems relevant to payroll</w:t>
      </w:r>
      <w:r>
        <w:fldChar w:fldCharType="end"/>
      </w:r>
    </w:p>
    <w:p w:rsidR="000D76CF" w:rsidP="000D76CF">
      <w:pPr>
        <w:pStyle w:val="Version"/>
        <w:sectPr w:rsidSect="008F2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9B3" w:rsidP="008F29B3">
      <w:pPr>
        <w:pStyle w:val="SuperHeading"/>
      </w:pPr>
      <w:r w:rsidRPr="008F29B3">
        <w:t>Assessment Requirements for FNSPAY505 Interpret and apply knowledge of taxation systems relevant to payroll</w:t>
      </w:r>
    </w:p>
    <w:p w:rsidR="00000000" w:rsidRPr="008F29B3" w:rsidP="008F29B3">
      <w:pPr>
        <w:pStyle w:val="Heading1"/>
      </w:pPr>
      <w:bookmarkStart w:id="1" w:name="O_975539"/>
      <w:bookmarkEnd w:id="1"/>
      <w:r w:rsidRPr="008F29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8F2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B3" w:rsidP="008F29B3">
            <w:pPr>
              <w:pStyle w:val="BodyText"/>
            </w:pPr>
            <w:r w:rsidRPr="008F29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B3">
            <w:pPr>
              <w:pStyle w:val="BodyText"/>
              <w:rPr>
                <w:lang w:val="en-NZ"/>
              </w:rPr>
            </w:pPr>
            <w:r w:rsidRPr="008F29B3">
              <w:rPr>
                <w:rStyle w:val="SpecialBold"/>
              </w:rPr>
              <w:t>Comments</w:t>
            </w:r>
          </w:p>
        </w:tc>
      </w:tr>
      <w:tr w:rsidTr="008F2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B3">
            <w:pPr>
              <w:pStyle w:val="BodyText"/>
              <w:rPr>
                <w:lang w:val="en-NZ"/>
              </w:rPr>
            </w:pPr>
            <w:r w:rsidRPr="008F29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B3" w:rsidP="008F29B3">
            <w:pPr>
              <w:pStyle w:val="BodyText"/>
            </w:pPr>
            <w:r w:rsidRPr="008F29B3">
              <w:t>This version first released with FNS Financial Services Training Package Version 3.0.</w:t>
            </w:r>
          </w:p>
        </w:tc>
      </w:tr>
    </w:tbl>
    <w:p w:rsidR="000D76CF" w:rsidP="008F29B3">
      <w:pPr>
        <w:pStyle w:val="BodyText"/>
      </w:pPr>
    </w:p>
    <w:p w:rsidR="000D76CF" w:rsidP="008F29B3">
      <w:pPr>
        <w:pStyle w:val="BodyText"/>
      </w:pPr>
    </w:p>
    <w:p w:rsidR="00000000" w:rsidRPr="008F29B3" w:rsidP="008F29B3">
      <w:pPr>
        <w:pStyle w:val="Heading1"/>
      </w:pPr>
      <w:bookmarkStart w:id="2" w:name="O_975540"/>
      <w:bookmarkEnd w:id="2"/>
      <w:r w:rsidRPr="008F29B3">
        <w:t>Performance Evidence</w:t>
      </w:r>
    </w:p>
    <w:p w:rsidR="00000000" w:rsidRPr="008F29B3" w:rsidP="000D76CF">
      <w:pPr>
        <w:pStyle w:val="BodyText"/>
      </w:pPr>
      <w:r w:rsidRPr="008F29B3">
        <w:t>Evidence of the ability to:</w:t>
      </w:r>
    </w:p>
    <w:p w:rsidR="00000000" w:rsidRPr="008F29B3" w:rsidP="008F29B3">
      <w:pPr>
        <w:pStyle w:val="ListBullet"/>
      </w:pPr>
      <w:r w:rsidRPr="008F29B3">
        <w:t>conduct research on changes to, or new, taxation systems relevant to payroll operations</w:t>
      </w:r>
    </w:p>
    <w:p w:rsidR="00000000" w:rsidRPr="008F29B3" w:rsidP="008F29B3">
      <w:pPr>
        <w:pStyle w:val="ListBullet"/>
      </w:pPr>
      <w:r w:rsidRPr="008F29B3">
        <w:t>assess impac</w:t>
      </w:r>
      <w:r w:rsidRPr="008F29B3">
        <w:t>t of taxation systems on payroll operations and apply understanding of taxation systems to payroll operations to ensure compliance and accuracy of payments</w:t>
      </w:r>
    </w:p>
    <w:p w:rsidR="00000000" w:rsidRPr="008F29B3" w:rsidP="008F29B3">
      <w:pPr>
        <w:pStyle w:val="ListBullet"/>
      </w:pPr>
      <w:r w:rsidRPr="008F29B3">
        <w:t>inform stakeholders of changes to payroll operations resulting from changes to taxation systems in l</w:t>
      </w:r>
      <w:r w:rsidRPr="008F29B3">
        <w:t>ine with organisational policies and procedures</w:t>
      </w:r>
    </w:p>
    <w:p w:rsidR="00000000" w:rsidRPr="008F29B3" w:rsidP="008F29B3">
      <w:pPr>
        <w:pStyle w:val="ListBullet"/>
      </w:pPr>
      <w:r w:rsidRPr="008F29B3">
        <w:t>determine the impact of taxation systems on at least three of the following types of legal entities and business structures:</w:t>
      </w:r>
    </w:p>
    <w:p w:rsidR="00000000" w:rsidRPr="008F29B3" w:rsidP="008F29B3">
      <w:pPr>
        <w:pStyle w:val="ListBullet2"/>
      </w:pPr>
      <w:r w:rsidRPr="008F29B3">
        <w:t>sole traders</w:t>
      </w:r>
    </w:p>
    <w:p w:rsidR="00000000" w:rsidRPr="008F29B3" w:rsidP="008F29B3">
      <w:pPr>
        <w:pStyle w:val="ListBullet2"/>
      </w:pPr>
      <w:r w:rsidRPr="008F29B3">
        <w:t>partnerships</w:t>
      </w:r>
    </w:p>
    <w:p w:rsidR="00000000" w:rsidRPr="008F29B3" w:rsidP="008F29B3">
      <w:pPr>
        <w:pStyle w:val="ListBullet2"/>
      </w:pPr>
      <w:r w:rsidRPr="008F29B3">
        <w:t>companies</w:t>
      </w:r>
    </w:p>
    <w:p w:rsidR="00000000" w:rsidRPr="008F29B3" w:rsidP="008F29B3">
      <w:pPr>
        <w:pStyle w:val="ListBullet2"/>
      </w:pPr>
      <w:r w:rsidRPr="008F29B3">
        <w:t>not for profit organisations</w:t>
      </w:r>
    </w:p>
    <w:p w:rsidR="00000000" w:rsidRPr="008F29B3" w:rsidP="008F29B3">
      <w:pPr>
        <w:pStyle w:val="ListBullet2"/>
      </w:pPr>
      <w:r w:rsidRPr="008F29B3">
        <w:t>principal contractors</w:t>
      </w:r>
    </w:p>
    <w:p w:rsidR="00000000" w:rsidRPr="008F29B3" w:rsidP="008F29B3">
      <w:pPr>
        <w:pStyle w:val="ListBullet2"/>
      </w:pPr>
      <w:r w:rsidRPr="008F29B3">
        <w:t>subcontractors</w:t>
      </w:r>
    </w:p>
    <w:p w:rsidR="00000000" w:rsidRPr="008F29B3" w:rsidP="008F29B3">
      <w:pPr>
        <w:pStyle w:val="ListBullet2"/>
      </w:pPr>
      <w:r w:rsidRPr="008F29B3">
        <w:t>grouped employers</w:t>
      </w:r>
    </w:p>
    <w:p w:rsidR="00000000" w:rsidRPr="008F29B3" w:rsidP="008F29B3">
      <w:pPr>
        <w:pStyle w:val="ListBullet"/>
      </w:pPr>
      <w:r w:rsidRPr="008F29B3">
        <w:t>seek advice from sources when interpreting taxation systems</w:t>
      </w:r>
    </w:p>
    <w:p w:rsidR="00000000" w:rsidRPr="008F29B3" w:rsidP="008F29B3">
      <w:pPr>
        <w:pStyle w:val="ListBullet"/>
      </w:pPr>
      <w:r w:rsidRPr="008F29B3">
        <w:t>use sources of information to ensure currency of knowledge of taxation systems relevant to payroll.</w:t>
      </w:r>
    </w:p>
    <w:p w:rsidR="00000000" w:rsidRPr="008F29B3" w:rsidP="008F29B3">
      <w:pPr>
        <w:pStyle w:val="BodyText"/>
      </w:pPr>
    </w:p>
    <w:p w:rsidR="000D76CF" w:rsidP="000D76CF">
      <w:pPr>
        <w:pStyle w:val="BodyText"/>
      </w:pPr>
      <w:r w:rsidRPr="008F29B3">
        <w:t>Note: If a specific volume or frequency</w:t>
      </w:r>
      <w:r w:rsidRPr="008F29B3">
        <w:t xml:space="preserve"> is not stated, then evidence must be provided at least once.</w:t>
      </w:r>
    </w:p>
    <w:p w:rsidR="00000000" w:rsidRPr="008F29B3" w:rsidP="008F29B3">
      <w:pPr>
        <w:pStyle w:val="Heading1"/>
      </w:pPr>
      <w:bookmarkStart w:id="3" w:name="O_975541"/>
      <w:bookmarkEnd w:id="3"/>
      <w:r w:rsidRPr="008F29B3">
        <w:t>Knowledge Evidence</w:t>
      </w:r>
    </w:p>
    <w:p w:rsidR="00000000" w:rsidRPr="008F29B3" w:rsidP="000D76CF">
      <w:pPr>
        <w:pStyle w:val="BodyText"/>
      </w:pPr>
      <w:r w:rsidRPr="008F29B3">
        <w:t xml:space="preserve">The candidate must be able to demonstrate the following knowledge to effectively complete the tasks outlined in the elements and performance criteria </w:t>
      </w:r>
      <w:r w:rsidRPr="008F29B3">
        <w:t>of this unit, and to manage tasks and reasonably foreseeable contingencies in the context of the work role.</w:t>
      </w:r>
    </w:p>
    <w:p w:rsidR="00000000" w:rsidRPr="008F29B3" w:rsidP="008F29B3">
      <w:pPr>
        <w:pStyle w:val="ListBullet"/>
      </w:pPr>
      <w:r w:rsidRPr="008F29B3">
        <w:t>Key features and operating principles of taxation systems relevant to payroll, including:</w:t>
      </w:r>
    </w:p>
    <w:p w:rsidR="00000000" w:rsidRPr="008F29B3" w:rsidP="008F29B3">
      <w:pPr>
        <w:pStyle w:val="ListBullet2"/>
      </w:pPr>
      <w:r w:rsidRPr="008F29B3">
        <w:t>income tax</w:t>
      </w:r>
    </w:p>
    <w:p w:rsidR="00000000" w:rsidRPr="008F29B3" w:rsidP="008F29B3">
      <w:pPr>
        <w:pStyle w:val="ListBullet2"/>
      </w:pPr>
      <w:r w:rsidRPr="008F29B3">
        <w:t>state payroll tax</w:t>
      </w:r>
    </w:p>
    <w:p w:rsidR="00000000" w:rsidRPr="008F29B3" w:rsidP="008F29B3">
      <w:pPr>
        <w:pStyle w:val="ListBullet"/>
      </w:pPr>
      <w:r w:rsidRPr="008F29B3">
        <w:t xml:space="preserve">Impact of fringe benefits </w:t>
      </w:r>
      <w:r w:rsidRPr="008F29B3">
        <w:t>tax (FBT) on payroll including circumstances in which:</w:t>
      </w:r>
    </w:p>
    <w:p w:rsidR="00000000" w:rsidRPr="008F29B3" w:rsidP="008F29B3">
      <w:pPr>
        <w:pStyle w:val="ListBullet2"/>
      </w:pPr>
      <w:r w:rsidRPr="008F29B3">
        <w:t>FBT applies to payroll</w:t>
      </w:r>
    </w:p>
    <w:p w:rsidR="00000000" w:rsidRPr="008F29B3" w:rsidP="008F29B3">
      <w:pPr>
        <w:pStyle w:val="ListBullet2"/>
      </w:pPr>
      <w:r w:rsidRPr="008F29B3">
        <w:t>payroll is exempt from FBT</w:t>
      </w:r>
    </w:p>
    <w:p w:rsidR="00000000" w:rsidRPr="008F29B3" w:rsidP="008F29B3">
      <w:pPr>
        <w:pStyle w:val="ListBullet"/>
      </w:pPr>
      <w:r w:rsidRPr="008F29B3">
        <w:t>Deductions and exemptions in taxation systems that apply to payroll, including:</w:t>
      </w:r>
    </w:p>
    <w:p w:rsidR="00000000" w:rsidRPr="008F29B3" w:rsidP="008F29B3">
      <w:pPr>
        <w:pStyle w:val="ListBullet2"/>
      </w:pPr>
      <w:r w:rsidRPr="008F29B3">
        <w:t>tax free thresholds</w:t>
      </w:r>
    </w:p>
    <w:p w:rsidR="00000000" w:rsidRPr="008F29B3" w:rsidP="008F29B3">
      <w:pPr>
        <w:pStyle w:val="ListBullet2"/>
      </w:pPr>
      <w:r w:rsidRPr="008F29B3">
        <w:t>superannuation concessions</w:t>
      </w:r>
    </w:p>
    <w:p w:rsidR="00000000" w:rsidRPr="008F29B3" w:rsidP="008F29B3">
      <w:pPr>
        <w:pStyle w:val="ListBullet"/>
      </w:pPr>
      <w:r w:rsidRPr="008F29B3">
        <w:t>State-based variatio</w:t>
      </w:r>
      <w:r w:rsidRPr="008F29B3">
        <w:t>ns in:</w:t>
      </w:r>
    </w:p>
    <w:p w:rsidR="00000000" w:rsidRPr="008F29B3" w:rsidP="008F29B3">
      <w:pPr>
        <w:pStyle w:val="ListBullet2"/>
      </w:pPr>
      <w:r w:rsidRPr="008F29B3">
        <w:t>payroll tax thresholds</w:t>
      </w:r>
    </w:p>
    <w:p w:rsidR="00000000" w:rsidRPr="008F29B3" w:rsidP="008F29B3">
      <w:pPr>
        <w:pStyle w:val="ListBullet2"/>
      </w:pPr>
      <w:r w:rsidRPr="008F29B3">
        <w:t>definitions of ‘taxable wages’</w:t>
      </w:r>
    </w:p>
    <w:p w:rsidR="00000000" w:rsidRPr="008F29B3" w:rsidP="008F29B3">
      <w:pPr>
        <w:pStyle w:val="ListBullet2"/>
      </w:pPr>
      <w:r w:rsidRPr="008F29B3">
        <w:t>applicable rebates and exemptions</w:t>
      </w:r>
    </w:p>
    <w:p w:rsidR="00000000" w:rsidRPr="008F29B3" w:rsidP="008F29B3">
      <w:pPr>
        <w:pStyle w:val="ListBullet"/>
      </w:pPr>
      <w:r w:rsidRPr="008F29B3">
        <w:t>Impacts of taxation systems on payroll operations, including how different taxation systems interact with each other to impact payroll operations</w:t>
      </w:r>
    </w:p>
    <w:p w:rsidR="00000000" w:rsidRPr="008F29B3" w:rsidP="008F29B3">
      <w:pPr>
        <w:pStyle w:val="ListBullet"/>
      </w:pPr>
      <w:r w:rsidRPr="008F29B3">
        <w:t>Roles and responsibilities of key organisations, including those of the Australian Taxation Office</w:t>
      </w:r>
    </w:p>
    <w:p w:rsidR="00000000" w:rsidRPr="008F29B3" w:rsidP="008F29B3">
      <w:pPr>
        <w:pStyle w:val="ListBullet"/>
      </w:pPr>
      <w:r w:rsidRPr="008F29B3">
        <w:t>Key principles underpinning the concept of ‘employees vs contractors’ in relation to pay as you go withholding (PAYGW) tax, superannuation, workers compensat</w:t>
      </w:r>
      <w:r w:rsidRPr="008F29B3">
        <w:t>ion, and payroll tax</w:t>
      </w:r>
    </w:p>
    <w:p w:rsidR="00000000" w:rsidRPr="008F29B3" w:rsidP="008F29B3">
      <w:pPr>
        <w:pStyle w:val="ListBullet"/>
      </w:pPr>
      <w:r w:rsidRPr="008F29B3">
        <w:t>Key features of tests that need to be applied in making a determination on the status of a worker for tax purposes</w:t>
      </w:r>
    </w:p>
    <w:p w:rsidR="00000000" w:rsidRPr="008F29B3" w:rsidP="008F29B3">
      <w:pPr>
        <w:pStyle w:val="ListBullet"/>
      </w:pPr>
      <w:r w:rsidRPr="008F29B3">
        <w:t>Key features of nexus provisions and tests that need to be applied in order to determine the correct jurisdiction for pa</w:t>
      </w:r>
      <w:r w:rsidRPr="008F29B3">
        <w:t>yroll tax liability</w:t>
      </w:r>
    </w:p>
    <w:p w:rsidR="00000000" w:rsidRPr="008F29B3" w:rsidP="008F29B3">
      <w:pPr>
        <w:pStyle w:val="ListBullet"/>
      </w:pPr>
      <w:r w:rsidRPr="008F29B3">
        <w:t>Industry-standard methods for calculating the payroll tax threshold in each State, and impact on that threshold for organisations that employ people in more than one State</w:t>
      </w:r>
    </w:p>
    <w:p w:rsidR="00000000" w:rsidRPr="008F29B3" w:rsidP="008F29B3">
      <w:pPr>
        <w:pStyle w:val="ListBullet"/>
      </w:pPr>
      <w:r w:rsidRPr="008F29B3">
        <w:t xml:space="preserve">Grouping provisions for payroll tax and principles underpinning </w:t>
      </w:r>
      <w:r w:rsidRPr="008F29B3">
        <w:t>the concept of a ‘designated group employer’</w:t>
      </w:r>
    </w:p>
    <w:p w:rsidR="000D76CF" w:rsidP="008F29B3">
      <w:pPr>
        <w:pStyle w:val="ListBullet"/>
      </w:pPr>
      <w:r w:rsidRPr="008F29B3">
        <w:t>Sources of information on taxation systems that can be accessed to maintain currency of knowledge and to seek advice when interpreting impact of tax on payroll</w:t>
      </w:r>
    </w:p>
    <w:p w:rsidR="000D76CF" w:rsidP="008F29B3">
      <w:pPr>
        <w:pStyle w:val="ListBullet"/>
      </w:pPr>
    </w:p>
    <w:p w:rsidR="00000000" w:rsidRPr="008F29B3" w:rsidP="008F29B3">
      <w:pPr>
        <w:pStyle w:val="Heading1"/>
      </w:pPr>
      <w:bookmarkStart w:id="4" w:name="O_975542"/>
      <w:bookmarkEnd w:id="4"/>
      <w:r w:rsidRPr="008F29B3">
        <w:t>Assessment Conditions</w:t>
      </w:r>
    </w:p>
    <w:p w:rsidR="00000000" w:rsidRPr="008F29B3" w:rsidP="000D76CF">
      <w:pPr>
        <w:pStyle w:val="BodyText"/>
      </w:pPr>
      <w:r w:rsidRPr="008F29B3">
        <w:t xml:space="preserve">Assessment </w:t>
      </w:r>
      <w:r w:rsidRPr="008F29B3">
        <w:t>must be conducted in a safe environment where evidence gathered demonstrates consistent performance of typical activities experienced in the payroll field of work and include access to:</w:t>
      </w:r>
    </w:p>
    <w:p w:rsidR="00000000" w:rsidRPr="008F29B3" w:rsidP="008F29B3">
      <w:pPr>
        <w:pStyle w:val="ListBullet"/>
      </w:pPr>
      <w:r w:rsidRPr="008F29B3">
        <w:t>office equipment, technology, software and consumables required to ac</w:t>
      </w:r>
      <w:r w:rsidRPr="008F29B3">
        <w:t>cess information on taxation systems relevant to payroll, including legislation, regulations, and codes of practice relating to payroll</w:t>
      </w:r>
    </w:p>
    <w:p w:rsidR="00000000" w:rsidRPr="008F29B3" w:rsidP="008F29B3">
      <w:pPr>
        <w:pStyle w:val="ListBullet"/>
      </w:pPr>
      <w:r w:rsidRPr="008F29B3">
        <w:t>case studies and, where available, real examples.</w:t>
      </w:r>
    </w:p>
    <w:p w:rsidR="00000000" w:rsidRPr="008F29B3" w:rsidP="008F29B3">
      <w:pPr>
        <w:pStyle w:val="BodyText"/>
      </w:pPr>
    </w:p>
    <w:p w:rsidR="000D76CF" w:rsidP="000D76CF">
      <w:pPr>
        <w:pStyle w:val="BodyText"/>
      </w:pPr>
      <w:r w:rsidRPr="008F29B3">
        <w:t>Assessors of this unit must satisfy the assessor requirements in applicable vocational education and training legislation, frameworks and/or standards.</w:t>
      </w:r>
    </w:p>
    <w:p w:rsidR="00000000" w:rsidRPr="008F29B3" w:rsidP="008F29B3">
      <w:pPr>
        <w:pStyle w:val="Heading1"/>
      </w:pPr>
      <w:bookmarkStart w:id="5" w:name="O_975545"/>
      <w:bookmarkEnd w:id="5"/>
      <w:r w:rsidRPr="008F29B3">
        <w:t>Links</w:t>
      </w:r>
    </w:p>
    <w:p w:rsidR="00000000" w:rsidRPr="008F29B3" w:rsidP="000D76CF">
      <w:pPr>
        <w:pStyle w:val="BodyText"/>
      </w:pPr>
      <w:r w:rsidRPr="008F29B3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C266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29B3" w:rsidP="008F29B3"/>
    <w:sectPr w:rsidSect="008F2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B3" w:rsidRPr="000D76CF" w:rsidP="000D76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CF" w:rsidP="008F2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6CF" w:rsidP="008F2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6CF" w:rsidP="008F2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9B3" w:rsidRPr="000D76CF" w:rsidP="000D76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6CF" w:rsidRPr="002D2AF8" w:rsidP="008F2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FNSPAY505 Interpret and apply knowledge of taxation systems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D76CF" w:rsidP="008F2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AC1C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008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EED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9B3"/>
  </w:style>
  <w:style w:type="character" w:customStyle="1" w:styleId="Heading1Char">
    <w:name w:val="Heading 1 Char"/>
    <w:basedOn w:val="DefaultParagraphFont"/>
    <w:link w:val="Heading1"/>
    <w:rsid w:val="008F2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9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9B3"/>
    <w:rPr>
      <w:b/>
      <w:spacing w:val="0"/>
    </w:rPr>
  </w:style>
  <w:style w:type="paragraph" w:styleId="ListBullet2">
    <w:name w:val="List Bullet 2"/>
    <w:basedOn w:val="List2"/>
    <w:rsid w:val="008F29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2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9B3"/>
    <w:rPr>
      <w:i/>
    </w:rPr>
  </w:style>
  <w:style w:type="paragraph" w:styleId="Caption">
    <w:name w:val="caption"/>
    <w:basedOn w:val="BodyText"/>
    <w:next w:val="Normal"/>
    <w:qFormat/>
    <w:rsid w:val="008F2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9B3"/>
  </w:style>
  <w:style w:type="paragraph" w:styleId="TableofFigures">
    <w:name w:val="table of figures"/>
    <w:basedOn w:val="Normal"/>
    <w:next w:val="Normal"/>
    <w:semiHidden/>
    <w:rsid w:val="008F2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9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9B3"/>
    <w:rPr>
      <w:rFonts w:ascii="Wingdings" w:hAnsi="Wingdings"/>
    </w:rPr>
  </w:style>
  <w:style w:type="paragraph" w:customStyle="1" w:styleId="TableHeading">
    <w:name w:val="Table Heading"/>
    <w:basedOn w:val="HeadingBase"/>
    <w:rsid w:val="008F2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9B3"/>
    <w:rPr>
      <w:color w:val="0033CC"/>
      <w:u w:val="none"/>
    </w:rPr>
  </w:style>
  <w:style w:type="paragraph" w:customStyle="1" w:styleId="BodyTextRight">
    <w:name w:val="Body Text Right"/>
    <w:basedOn w:val="BodyText"/>
    <w:rsid w:val="008F2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9B3"/>
    <w:rPr>
      <w:sz w:val="32"/>
    </w:rPr>
  </w:style>
  <w:style w:type="paragraph" w:customStyle="1" w:styleId="HeadingProcedure">
    <w:name w:val="Heading Procedure"/>
    <w:basedOn w:val="HeadingBase"/>
    <w:next w:val="Normal"/>
    <w:rsid w:val="008F2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9B3"/>
    <w:pPr>
      <w:spacing w:before="60" w:after="60"/>
    </w:pPr>
  </w:style>
  <w:style w:type="paragraph" w:styleId="ListContinue">
    <w:name w:val="List Continue"/>
    <w:basedOn w:val="List"/>
    <w:rsid w:val="008F29B3"/>
    <w:pPr>
      <w:ind w:firstLine="0"/>
    </w:pPr>
  </w:style>
  <w:style w:type="paragraph" w:customStyle="1" w:styleId="ListNote">
    <w:name w:val="List Note"/>
    <w:basedOn w:val="List"/>
    <w:rsid w:val="008F2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9B3"/>
    <w:rPr>
      <w:rFonts w:ascii="Courier New" w:hAnsi="Courier New"/>
    </w:rPr>
  </w:style>
  <w:style w:type="paragraph" w:customStyle="1" w:styleId="NoteBullet">
    <w:name w:val="Note Bullet"/>
    <w:basedOn w:val="Note"/>
    <w:rsid w:val="008F2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9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9B3"/>
    <w:rPr>
      <w:b/>
      <w:smallCaps/>
    </w:rPr>
  </w:style>
  <w:style w:type="paragraph" w:customStyle="1" w:styleId="TableListNumber">
    <w:name w:val="Table List Number"/>
    <w:basedOn w:val="ListNumber"/>
    <w:rsid w:val="008F2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9B3"/>
    <w:pPr>
      <w:numPr>
        <w:numId w:val="9"/>
      </w:numPr>
    </w:pPr>
  </w:style>
  <w:style w:type="paragraph" w:customStyle="1" w:styleId="ListAlpha2">
    <w:name w:val="List Alpha 2"/>
    <w:basedOn w:val="List2"/>
    <w:rsid w:val="008F29B3"/>
    <w:pPr>
      <w:numPr>
        <w:numId w:val="8"/>
      </w:numPr>
    </w:pPr>
  </w:style>
  <w:style w:type="paragraph" w:styleId="List2">
    <w:name w:val="List 2"/>
    <w:basedOn w:val="BodyText"/>
    <w:rsid w:val="008F2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9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9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9B3"/>
    <w:pPr>
      <w:numPr>
        <w:numId w:val="4"/>
      </w:numPr>
    </w:pPr>
  </w:style>
  <w:style w:type="paragraph" w:styleId="ListContinue2">
    <w:name w:val="List Continue 2"/>
    <w:basedOn w:val="List2"/>
    <w:rsid w:val="008F29B3"/>
    <w:pPr>
      <w:ind w:firstLine="0"/>
    </w:pPr>
  </w:style>
  <w:style w:type="paragraph" w:styleId="ListContinue3">
    <w:name w:val="List Continue 3"/>
    <w:basedOn w:val="List3"/>
    <w:rsid w:val="008F29B3"/>
    <w:pPr>
      <w:ind w:left="1021" w:firstLine="0"/>
    </w:pPr>
  </w:style>
  <w:style w:type="paragraph" w:styleId="ListContinue4">
    <w:name w:val="List Continue 4"/>
    <w:basedOn w:val="List4"/>
    <w:rsid w:val="008F29B3"/>
    <w:pPr>
      <w:ind w:firstLine="0"/>
    </w:pPr>
  </w:style>
  <w:style w:type="paragraph" w:styleId="ListContinue5">
    <w:name w:val="List Continue 5"/>
    <w:basedOn w:val="List5"/>
    <w:rsid w:val="008F29B3"/>
    <w:pPr>
      <w:ind w:firstLine="0"/>
    </w:pPr>
  </w:style>
  <w:style w:type="paragraph" w:styleId="ListNumber3">
    <w:name w:val="List Number 3"/>
    <w:basedOn w:val="List3"/>
    <w:rsid w:val="008F29B3"/>
    <w:pPr>
      <w:numPr>
        <w:numId w:val="5"/>
      </w:numPr>
    </w:pPr>
  </w:style>
  <w:style w:type="paragraph" w:styleId="ListNumber4">
    <w:name w:val="List Number 4"/>
    <w:basedOn w:val="List4"/>
    <w:rsid w:val="008F29B3"/>
    <w:pPr>
      <w:numPr>
        <w:numId w:val="6"/>
      </w:numPr>
    </w:pPr>
  </w:style>
  <w:style w:type="paragraph" w:styleId="ListNumber5">
    <w:name w:val="List Number 5"/>
    <w:basedOn w:val="List5"/>
    <w:rsid w:val="008F29B3"/>
    <w:pPr>
      <w:numPr>
        <w:numId w:val="7"/>
      </w:numPr>
    </w:pPr>
  </w:style>
  <w:style w:type="paragraph" w:styleId="BlockText">
    <w:name w:val="Block Text"/>
    <w:basedOn w:val="Normal"/>
    <w:rsid w:val="008F2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9B3"/>
    <w:rPr>
      <w:sz w:val="16"/>
      <w:vertAlign w:val="superscript"/>
    </w:rPr>
  </w:style>
  <w:style w:type="character" w:customStyle="1" w:styleId="Symbols">
    <w:name w:val="Symbols"/>
    <w:basedOn w:val="DefaultParagraphFont"/>
    <w:rsid w:val="008F29B3"/>
    <w:rPr>
      <w:rFonts w:ascii="Symbol" w:hAnsi="Symbol"/>
    </w:rPr>
  </w:style>
  <w:style w:type="character" w:customStyle="1" w:styleId="MenuOptions">
    <w:name w:val="Menu Options"/>
    <w:basedOn w:val="DefaultParagraphFont"/>
    <w:rsid w:val="008F2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9B3"/>
    <w:rPr>
      <w:b/>
    </w:rPr>
  </w:style>
  <w:style w:type="character" w:customStyle="1" w:styleId="Underlined">
    <w:name w:val="Underlined"/>
    <w:basedOn w:val="DefaultParagraphFont"/>
    <w:rsid w:val="008F29B3"/>
    <w:rPr>
      <w:u w:val="single"/>
    </w:rPr>
  </w:style>
  <w:style w:type="paragraph" w:customStyle="1" w:styleId="TableBodyTextRight">
    <w:name w:val="Table Body Text Right"/>
    <w:basedOn w:val="TableBodyText"/>
    <w:rsid w:val="008F2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9B3"/>
    <w:rPr>
      <w:sz w:val="18"/>
    </w:rPr>
  </w:style>
  <w:style w:type="paragraph" w:customStyle="1" w:styleId="BodySmallRight">
    <w:name w:val="Body Small Right"/>
    <w:basedOn w:val="BodyTextRight"/>
    <w:rsid w:val="008F29B3"/>
    <w:rPr>
      <w:sz w:val="18"/>
      <w:szCs w:val="18"/>
    </w:rPr>
  </w:style>
  <w:style w:type="paragraph" w:customStyle="1" w:styleId="MarginEdition">
    <w:name w:val="Margin Edition"/>
    <w:basedOn w:val="MarginNote"/>
    <w:rsid w:val="008F2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9B3"/>
    <w:rPr>
      <w:sz w:val="2"/>
      <w:szCs w:val="2"/>
    </w:rPr>
  </w:style>
  <w:style w:type="character" w:customStyle="1" w:styleId="Small">
    <w:name w:val="Small"/>
    <w:basedOn w:val="DefaultParagraphFont"/>
    <w:rsid w:val="008F29B3"/>
    <w:rPr>
      <w:sz w:val="16"/>
    </w:rPr>
  </w:style>
  <w:style w:type="paragraph" w:customStyle="1" w:styleId="WideTable">
    <w:name w:val="Wide Table"/>
    <w:basedOn w:val="Normal"/>
    <w:rsid w:val="008F2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9B3"/>
  </w:style>
  <w:style w:type="paragraph" w:styleId="Quote">
    <w:name w:val="Quote"/>
    <w:basedOn w:val="Heading1"/>
    <w:link w:val="QuoteChar"/>
    <w:qFormat/>
    <w:rsid w:val="008F2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9B3"/>
    <w:pPr>
      <w:pageBreakBefore/>
    </w:pPr>
  </w:style>
  <w:style w:type="paragraph" w:customStyle="1" w:styleId="Border">
    <w:name w:val="Border"/>
    <w:basedOn w:val="Normal"/>
    <w:qFormat/>
    <w:rsid w:val="008F2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9B3"/>
    <w:rPr>
      <w:u w:val="single"/>
    </w:rPr>
  </w:style>
  <w:style w:type="character" w:customStyle="1" w:styleId="BoldandItalics">
    <w:name w:val="Bold and Italics"/>
    <w:qFormat/>
    <w:rsid w:val="008F29B3"/>
    <w:rPr>
      <w:b/>
      <w:i/>
      <w:u w:val="none"/>
    </w:rPr>
  </w:style>
  <w:style w:type="paragraph" w:styleId="BalloonText">
    <w:name w:val="Balloon Text"/>
    <w:basedOn w:val="Normal"/>
    <w:link w:val="BalloonTextChar"/>
    <w:rsid w:val="008F2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9B3"/>
    <w:pPr>
      <w:spacing w:before="0" w:after="0"/>
    </w:pPr>
  </w:style>
  <w:style w:type="paragraph" w:customStyle="1" w:styleId="BodyTextBold">
    <w:name w:val="Body Text Bold"/>
    <w:basedOn w:val="BodyText"/>
    <w:qFormat/>
    <w:rsid w:val="008F29B3"/>
    <w:rPr>
      <w:b/>
    </w:rPr>
  </w:style>
  <w:style w:type="character" w:styleId="Hyperlink">
    <w:name w:val="Hyperlink"/>
    <w:basedOn w:val="DefaultParagraphFont"/>
    <w:uiPriority w:val="99"/>
    <w:unhideWhenUsed/>
    <w:rsid w:val="000D7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3573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FNSPAY505 Interpret and apply knowledge of taxation systems relevant to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