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3E3" w:rsidP="00DD6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FNSPAY503 Process complex employee terminations in payroll</w:t>
      </w:r>
      <w:r>
        <w:fldChar w:fldCharType="end"/>
      </w:r>
    </w:p>
    <w:p w:rsidR="00DD63E3" w:rsidP="00DD63E3">
      <w:pPr>
        <w:pStyle w:val="Version"/>
        <w:sectPr w:rsidSect="00914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9F4" w:rsidP="009149F4">
      <w:pPr>
        <w:pStyle w:val="SuperHeading"/>
      </w:pPr>
      <w:r w:rsidRPr="009149F4">
        <w:t>Assessment Requirements for FNSPAY503 Process complex employee terminations in payroll</w:t>
      </w:r>
    </w:p>
    <w:p w:rsidR="00000000" w:rsidRPr="009149F4" w:rsidP="009149F4">
      <w:pPr>
        <w:pStyle w:val="Heading1"/>
      </w:pPr>
      <w:bookmarkStart w:id="1" w:name="O_975501"/>
      <w:bookmarkEnd w:id="1"/>
      <w:r w:rsidRPr="009149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914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9F4" w:rsidP="009149F4">
            <w:pPr>
              <w:pStyle w:val="BodyText"/>
            </w:pPr>
            <w:r w:rsidRPr="009149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9F4">
            <w:pPr>
              <w:pStyle w:val="BodyText"/>
              <w:rPr>
                <w:lang w:val="en-NZ"/>
              </w:rPr>
            </w:pPr>
            <w:r w:rsidRPr="009149F4">
              <w:rPr>
                <w:rStyle w:val="SpecialBold"/>
              </w:rPr>
              <w:t>Comments</w:t>
            </w:r>
          </w:p>
        </w:tc>
      </w:tr>
      <w:tr w:rsidTr="009149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9F4">
            <w:pPr>
              <w:pStyle w:val="BodyText"/>
              <w:rPr>
                <w:lang w:val="en-NZ"/>
              </w:rPr>
            </w:pPr>
            <w:r w:rsidRPr="009149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9F4" w:rsidP="009149F4">
            <w:pPr>
              <w:pStyle w:val="BodyText"/>
            </w:pPr>
            <w:r w:rsidRPr="009149F4">
              <w:t>This version first released with FNS Financial Services Training Package Version 3.0.</w:t>
            </w:r>
          </w:p>
        </w:tc>
      </w:tr>
    </w:tbl>
    <w:p w:rsidR="00DD63E3" w:rsidP="009149F4">
      <w:pPr>
        <w:pStyle w:val="BodyText"/>
      </w:pPr>
    </w:p>
    <w:p w:rsidR="00DD63E3" w:rsidP="009149F4">
      <w:pPr>
        <w:pStyle w:val="BodyText"/>
      </w:pPr>
    </w:p>
    <w:p w:rsidR="00000000" w:rsidRPr="009149F4" w:rsidP="009149F4">
      <w:pPr>
        <w:pStyle w:val="Heading1"/>
      </w:pPr>
      <w:bookmarkStart w:id="2" w:name="O_975502"/>
      <w:bookmarkEnd w:id="2"/>
      <w:r w:rsidRPr="009149F4">
        <w:t>Performance Evidence</w:t>
      </w:r>
    </w:p>
    <w:p w:rsidR="00000000" w:rsidRPr="009149F4" w:rsidP="00DD63E3">
      <w:pPr>
        <w:pStyle w:val="BodyText"/>
      </w:pPr>
      <w:r w:rsidRPr="009149F4">
        <w:t>Evidence of the ability to:</w:t>
      </w:r>
    </w:p>
    <w:p w:rsidR="00000000" w:rsidRPr="009149F4" w:rsidP="009149F4">
      <w:pPr>
        <w:pStyle w:val="ListBullet"/>
      </w:pPr>
      <w:r w:rsidRPr="009149F4">
        <w:t>collect information required to carry out an employment termination process in a payroll system, and:</w:t>
      </w:r>
    </w:p>
    <w:p w:rsidR="00000000" w:rsidRPr="009149F4" w:rsidP="009149F4">
      <w:pPr>
        <w:pStyle w:val="ListBullet2"/>
      </w:pPr>
      <w:r w:rsidRPr="009149F4">
        <w:t>interact with stakeholders to ensure completeness and accuracy of information required to proce</w:t>
      </w:r>
      <w:r w:rsidRPr="009149F4">
        <w:t>ss that termination</w:t>
      </w:r>
    </w:p>
    <w:p w:rsidR="00000000" w:rsidRPr="009149F4" w:rsidP="009149F4">
      <w:pPr>
        <w:pStyle w:val="ListBullet2"/>
      </w:pPr>
      <w:r w:rsidRPr="009149F4">
        <w:t>ensure compliance of employment termination with legislative requirements and organisational procedures</w:t>
      </w:r>
    </w:p>
    <w:p w:rsidR="00000000" w:rsidRPr="009149F4" w:rsidP="009149F4">
      <w:pPr>
        <w:pStyle w:val="ListBullet"/>
      </w:pPr>
      <w:r w:rsidRPr="009149F4">
        <w:t xml:space="preserve">process each of the following employment termination types in payroll systems, including calculating </w:t>
      </w:r>
      <w:r w:rsidRPr="009149F4">
        <w:t>the employment termination payment (ETP) for each:</w:t>
      </w:r>
    </w:p>
    <w:p w:rsidR="00000000" w:rsidRPr="009149F4" w:rsidP="009149F4">
      <w:pPr>
        <w:pStyle w:val="ListBullet2"/>
      </w:pPr>
      <w:r w:rsidRPr="009149F4">
        <w:t>resignation</w:t>
      </w:r>
    </w:p>
    <w:p w:rsidR="00000000" w:rsidRPr="009149F4" w:rsidP="009149F4">
      <w:pPr>
        <w:pStyle w:val="ListBullet2"/>
      </w:pPr>
      <w:r w:rsidRPr="009149F4">
        <w:t>redundancy</w:t>
      </w:r>
    </w:p>
    <w:p w:rsidR="00000000" w:rsidRPr="009149F4" w:rsidP="009149F4">
      <w:pPr>
        <w:pStyle w:val="ListBullet2"/>
      </w:pPr>
      <w:r w:rsidRPr="009149F4">
        <w:t>retirement</w:t>
      </w:r>
    </w:p>
    <w:p w:rsidR="00000000" w:rsidRPr="009149F4" w:rsidP="009149F4">
      <w:pPr>
        <w:pStyle w:val="ListBullet"/>
      </w:pPr>
      <w:r w:rsidRPr="009149F4">
        <w:t>process at least one of the following employment termination types in payroll systems, and calculate the corresponding ETP:</w:t>
      </w:r>
    </w:p>
    <w:p w:rsidR="00000000" w:rsidRPr="009149F4" w:rsidP="009149F4">
      <w:pPr>
        <w:pStyle w:val="ListBullet2"/>
      </w:pPr>
      <w:r w:rsidRPr="009149F4">
        <w:t>dismissal</w:t>
      </w:r>
    </w:p>
    <w:p w:rsidR="00000000" w:rsidRPr="009149F4" w:rsidP="009149F4">
      <w:pPr>
        <w:pStyle w:val="ListBullet2"/>
      </w:pPr>
      <w:r w:rsidRPr="009149F4">
        <w:t>unfair dismissal</w:t>
      </w:r>
    </w:p>
    <w:p w:rsidR="00000000" w:rsidRPr="009149F4" w:rsidP="009149F4">
      <w:pPr>
        <w:pStyle w:val="ListBullet2"/>
      </w:pPr>
      <w:r w:rsidRPr="009149F4">
        <w:t>invalidity</w:t>
      </w:r>
    </w:p>
    <w:p w:rsidR="00000000" w:rsidRPr="009149F4" w:rsidP="009149F4">
      <w:pPr>
        <w:pStyle w:val="ListBullet2"/>
      </w:pPr>
      <w:r w:rsidRPr="009149F4">
        <w:t>death</w:t>
      </w:r>
    </w:p>
    <w:p w:rsidR="00000000" w:rsidRPr="009149F4" w:rsidP="009149F4">
      <w:pPr>
        <w:pStyle w:val="ListBullet2"/>
      </w:pPr>
      <w:r w:rsidRPr="009149F4">
        <w:t>termination for pre-August 1983 starters</w:t>
      </w:r>
    </w:p>
    <w:p w:rsidR="00000000" w:rsidRPr="009149F4" w:rsidP="009149F4">
      <w:pPr>
        <w:pStyle w:val="ListBullet2"/>
      </w:pPr>
      <w:r w:rsidRPr="009149F4">
        <w:t>golden handshakes</w:t>
      </w:r>
    </w:p>
    <w:p w:rsidR="00000000" w:rsidRPr="009149F4" w:rsidP="009149F4">
      <w:pPr>
        <w:pStyle w:val="ListBullet"/>
      </w:pPr>
      <w:r w:rsidRPr="009149F4">
        <w:t>process the above termination payment entitlements according to commonwealth, state and territory legislative requirements, including:</w:t>
      </w:r>
    </w:p>
    <w:p w:rsidR="00000000" w:rsidRPr="009149F4" w:rsidP="009149F4">
      <w:pPr>
        <w:pStyle w:val="ListBullet2"/>
      </w:pPr>
      <w:r w:rsidRPr="009149F4">
        <w:t>final salary and wages payments</w:t>
      </w:r>
    </w:p>
    <w:p w:rsidR="00000000" w:rsidRPr="009149F4" w:rsidP="009149F4">
      <w:pPr>
        <w:pStyle w:val="ListBullet2"/>
      </w:pPr>
      <w:r w:rsidRPr="009149F4">
        <w:t>unused annual leave and long</w:t>
      </w:r>
      <w:r w:rsidRPr="009149F4">
        <w:t xml:space="preserve"> service leave</w:t>
      </w:r>
    </w:p>
    <w:p w:rsidR="00000000" w:rsidRPr="009149F4" w:rsidP="009149F4">
      <w:pPr>
        <w:pStyle w:val="ListBullet2"/>
      </w:pPr>
      <w:r w:rsidRPr="009149F4">
        <w:t>notice and redundancy payments</w:t>
      </w:r>
    </w:p>
    <w:p w:rsidR="00000000" w:rsidRPr="009149F4" w:rsidP="009149F4">
      <w:pPr>
        <w:pStyle w:val="ListBullet2"/>
      </w:pPr>
      <w:r w:rsidRPr="009149F4">
        <w:t>unused rostered days off (RDOs) and other entitlements</w:t>
      </w:r>
    </w:p>
    <w:p w:rsidR="00000000" w:rsidRPr="009149F4" w:rsidP="009149F4">
      <w:pPr>
        <w:pStyle w:val="ListBullet2"/>
      </w:pPr>
      <w:r w:rsidRPr="009149F4">
        <w:t>gratuities</w:t>
      </w:r>
    </w:p>
    <w:p w:rsidR="00000000" w:rsidRPr="009149F4" w:rsidP="009149F4">
      <w:pPr>
        <w:pStyle w:val="ListBullet2"/>
      </w:pPr>
      <w:r w:rsidRPr="009149F4">
        <w:t>settlements</w:t>
      </w:r>
    </w:p>
    <w:p w:rsidR="00000000" w:rsidRPr="009149F4" w:rsidP="009149F4">
      <w:pPr>
        <w:pStyle w:val="ListBullet"/>
      </w:pPr>
      <w:r w:rsidRPr="009149F4">
        <w:t>maintain records of the above employment terminations according to legislative requirements.</w:t>
      </w:r>
    </w:p>
    <w:p w:rsidR="00000000" w:rsidRPr="009149F4" w:rsidP="009149F4">
      <w:pPr>
        <w:pStyle w:val="BodyText"/>
      </w:pPr>
    </w:p>
    <w:p w:rsidR="00000000" w:rsidRPr="009149F4" w:rsidP="00DD63E3">
      <w:pPr>
        <w:pStyle w:val="BodyText"/>
      </w:pPr>
      <w:r w:rsidRPr="009149F4">
        <w:t>Note: If a specific volume or frequency is not stated, then evidence must be provided at least once.</w:t>
      </w:r>
    </w:p>
    <w:p w:rsidR="00000000" w:rsidRPr="009149F4" w:rsidP="009149F4">
      <w:pPr>
        <w:pStyle w:val="Heading1"/>
      </w:pPr>
      <w:bookmarkStart w:id="3" w:name="O_975503"/>
      <w:bookmarkEnd w:id="3"/>
      <w:r w:rsidRPr="009149F4">
        <w:t>Knowledge Evidence</w:t>
      </w:r>
    </w:p>
    <w:p w:rsidR="00000000" w:rsidRPr="009149F4" w:rsidP="00DD63E3">
      <w:pPr>
        <w:pStyle w:val="BodyText"/>
      </w:pPr>
      <w:r w:rsidRPr="009149F4">
        <w:t>The candidate must be able to demonstrate the following knowledge to effectively complete the tasks outlined in the ele</w:t>
      </w:r>
      <w:r w:rsidRPr="009149F4">
        <w:t>ments and performance criteria of this unit, and to manage tasks and reasonably foreseeable contingencies in the context of the work role.</w:t>
      </w:r>
    </w:p>
    <w:p w:rsidR="00000000" w:rsidRPr="009149F4" w:rsidP="009149F4">
      <w:pPr>
        <w:pStyle w:val="ListBullet"/>
      </w:pPr>
      <w:r w:rsidRPr="009149F4">
        <w:t>Different types of employment terminations, including:</w:t>
      </w:r>
    </w:p>
    <w:p w:rsidR="00000000" w:rsidRPr="009149F4" w:rsidP="009149F4">
      <w:pPr>
        <w:pStyle w:val="ListBullet2"/>
      </w:pPr>
      <w:r w:rsidRPr="009149F4">
        <w:t>resignation</w:t>
      </w:r>
    </w:p>
    <w:p w:rsidR="00000000" w:rsidRPr="009149F4" w:rsidP="009149F4">
      <w:pPr>
        <w:pStyle w:val="ListBullet2"/>
      </w:pPr>
      <w:r w:rsidRPr="009149F4">
        <w:t>redundancy</w:t>
      </w:r>
    </w:p>
    <w:p w:rsidR="00000000" w:rsidRPr="009149F4" w:rsidP="009149F4">
      <w:pPr>
        <w:pStyle w:val="ListBullet2"/>
      </w:pPr>
      <w:r w:rsidRPr="009149F4">
        <w:t>retirement</w:t>
      </w:r>
    </w:p>
    <w:p w:rsidR="00000000" w:rsidRPr="009149F4" w:rsidP="009149F4">
      <w:pPr>
        <w:pStyle w:val="ListBullet2"/>
      </w:pPr>
      <w:r w:rsidRPr="009149F4">
        <w:t>dismissal</w:t>
      </w:r>
    </w:p>
    <w:p w:rsidR="00000000" w:rsidRPr="009149F4" w:rsidP="009149F4">
      <w:pPr>
        <w:pStyle w:val="ListBullet2"/>
      </w:pPr>
      <w:r w:rsidRPr="009149F4">
        <w:t>unfair dismissal</w:t>
      </w:r>
    </w:p>
    <w:p w:rsidR="00000000" w:rsidRPr="009149F4" w:rsidP="009149F4">
      <w:pPr>
        <w:pStyle w:val="ListBullet2"/>
      </w:pPr>
      <w:r w:rsidRPr="009149F4">
        <w:t>invalidity</w:t>
      </w:r>
    </w:p>
    <w:p w:rsidR="00000000" w:rsidRPr="009149F4" w:rsidP="009149F4">
      <w:pPr>
        <w:pStyle w:val="ListBullet2"/>
      </w:pPr>
      <w:r w:rsidRPr="009149F4">
        <w:t>death</w:t>
      </w:r>
    </w:p>
    <w:p w:rsidR="00000000" w:rsidRPr="009149F4" w:rsidP="009149F4">
      <w:pPr>
        <w:pStyle w:val="ListBullet2"/>
      </w:pPr>
      <w:r w:rsidRPr="009149F4">
        <w:t>termination for pre-August 1983 starters</w:t>
      </w:r>
    </w:p>
    <w:p w:rsidR="00000000" w:rsidRPr="009149F4" w:rsidP="009149F4">
      <w:pPr>
        <w:pStyle w:val="ListBullet2"/>
      </w:pPr>
      <w:r w:rsidRPr="009149F4">
        <w:t>golden handshakes</w:t>
      </w:r>
    </w:p>
    <w:p w:rsidR="00000000" w:rsidRPr="009149F4" w:rsidP="009149F4">
      <w:pPr>
        <w:pStyle w:val="ListBullet"/>
      </w:pPr>
      <w:r w:rsidRPr="009149F4">
        <w:t>Key types of ETPs and when they are used</w:t>
      </w:r>
    </w:p>
    <w:p w:rsidR="00000000" w:rsidRPr="009149F4" w:rsidP="009149F4">
      <w:pPr>
        <w:pStyle w:val="ListBullet"/>
      </w:pPr>
      <w:r w:rsidRPr="009149F4">
        <w:t>Key features of organisational policies and procedures relating to ETPs</w:t>
      </w:r>
    </w:p>
    <w:p w:rsidR="00000000" w:rsidRPr="009149F4" w:rsidP="009149F4">
      <w:pPr>
        <w:pStyle w:val="ListBullet"/>
      </w:pPr>
      <w:r w:rsidRPr="009149F4">
        <w:t>Legislative requirements relating to termination notice periods a</w:t>
      </w:r>
      <w:r w:rsidRPr="009149F4">
        <w:t>nd redundancy payments</w:t>
      </w:r>
    </w:p>
    <w:p w:rsidR="00000000" w:rsidRPr="009149F4" w:rsidP="009149F4">
      <w:pPr>
        <w:pStyle w:val="ListBullet"/>
      </w:pPr>
      <w:r w:rsidRPr="009149F4">
        <w:t>Significance of determining the preservation age of an employee on termination</w:t>
      </w:r>
    </w:p>
    <w:p w:rsidR="00000000" w:rsidRPr="009149F4" w:rsidP="009149F4">
      <w:pPr>
        <w:pStyle w:val="ListBullet"/>
      </w:pPr>
      <w:r w:rsidRPr="009149F4">
        <w:t>Tax treatment for a redundancy payment, including the Lump Sum D component and any excess over the tax free Lump Sum D amount</w:t>
      </w:r>
    </w:p>
    <w:p w:rsidR="00000000" w:rsidRPr="009149F4" w:rsidP="009149F4">
      <w:pPr>
        <w:pStyle w:val="ListBullet"/>
      </w:pPr>
      <w:r w:rsidRPr="009149F4">
        <w:t>Tax treatment options for un</w:t>
      </w:r>
      <w:r w:rsidRPr="009149F4">
        <w:t>used annual leave and long service leave on termination</w:t>
      </w:r>
    </w:p>
    <w:p w:rsidR="00000000" w:rsidRPr="009149F4" w:rsidP="009149F4">
      <w:pPr>
        <w:pStyle w:val="ListBullet"/>
      </w:pPr>
      <w:r w:rsidRPr="009149F4">
        <w:t>Different tax treatments of ETPs and how they are calculated, including:</w:t>
      </w:r>
    </w:p>
    <w:p w:rsidR="00000000" w:rsidRPr="009149F4" w:rsidP="009149F4">
      <w:pPr>
        <w:pStyle w:val="ListBullet2"/>
      </w:pPr>
      <w:r w:rsidRPr="009149F4">
        <w:t>excluded ETPs</w:t>
      </w:r>
    </w:p>
    <w:p w:rsidR="00000000" w:rsidRPr="009149F4" w:rsidP="009149F4">
      <w:pPr>
        <w:pStyle w:val="ListBullet2"/>
      </w:pPr>
      <w:r w:rsidRPr="009149F4">
        <w:t>non-excluded ETPS</w:t>
      </w:r>
    </w:p>
    <w:p w:rsidR="00000000" w:rsidRPr="009149F4" w:rsidP="009149F4">
      <w:pPr>
        <w:pStyle w:val="ListBullet"/>
      </w:pPr>
      <w:r w:rsidRPr="009149F4">
        <w:t>Types of termination payments that are subject to superannuation contributions</w:t>
      </w:r>
    </w:p>
    <w:p w:rsidR="00000000" w:rsidRPr="009149F4" w:rsidP="009149F4">
      <w:pPr>
        <w:pStyle w:val="ListBullet"/>
      </w:pPr>
      <w:r w:rsidRPr="009149F4">
        <w:t>Impact of legislative requirements on complex employee terminations, including:</w:t>
      </w:r>
    </w:p>
    <w:p w:rsidR="00000000" w:rsidRPr="009149F4" w:rsidP="009149F4">
      <w:pPr>
        <w:pStyle w:val="ListBullet2"/>
      </w:pPr>
      <w:r w:rsidRPr="009149F4">
        <w:t>legislation relating to employment termination processes</w:t>
      </w:r>
    </w:p>
    <w:p w:rsidR="00000000" w:rsidRPr="009149F4" w:rsidP="009149F4">
      <w:pPr>
        <w:pStyle w:val="ListBullet2"/>
      </w:pPr>
      <w:r w:rsidRPr="009149F4">
        <w:t>legislation relating to the calculation and issuance of employment termination payments</w:t>
      </w:r>
    </w:p>
    <w:p w:rsidR="00000000" w:rsidRPr="009149F4" w:rsidP="009149F4">
      <w:pPr>
        <w:pStyle w:val="ListBullet2"/>
      </w:pPr>
      <w:r w:rsidRPr="009149F4">
        <w:t>Fair Work Act recordkeeping re</w:t>
      </w:r>
      <w:r w:rsidRPr="009149F4">
        <w:t>quirements relating to employment termination processes</w:t>
      </w:r>
    </w:p>
    <w:p w:rsidR="00000000" w:rsidRPr="009149F4" w:rsidP="009149F4">
      <w:pPr>
        <w:pStyle w:val="ListBullet2"/>
      </w:pPr>
      <w:r w:rsidRPr="009149F4">
        <w:t>state legislation, including long service leave entitlements</w:t>
      </w:r>
    </w:p>
    <w:p w:rsidR="00000000" w:rsidRPr="009149F4" w:rsidP="009149F4">
      <w:pPr>
        <w:pStyle w:val="ListBullet"/>
      </w:pPr>
      <w:r w:rsidRPr="009149F4">
        <w:t>Sources of information on employment termination processes that can be accessed to maintain currency of knowledge and to seek advice</w:t>
      </w:r>
    </w:p>
    <w:p w:rsidR="00000000" w:rsidRPr="009149F4" w:rsidP="009149F4">
      <w:pPr>
        <w:pStyle w:val="AllowPageBreak"/>
      </w:pPr>
    </w:p>
    <w:p w:rsidR="00000000" w:rsidRPr="009149F4" w:rsidP="009149F4">
      <w:pPr>
        <w:pStyle w:val="Heading1"/>
      </w:pPr>
      <w:bookmarkStart w:id="4" w:name="O_975504"/>
      <w:bookmarkEnd w:id="4"/>
      <w:r w:rsidRPr="009149F4">
        <w:t>Assessment Conditions</w:t>
      </w:r>
    </w:p>
    <w:p w:rsidR="00000000" w:rsidRPr="009149F4" w:rsidP="00DD63E3">
      <w:pPr>
        <w:pStyle w:val="BodyText"/>
      </w:pPr>
      <w:r w:rsidRPr="009149F4">
        <w:t>Assessment must be conducted in a safe environment where evidence gathered demonstrates consistent performance of typical activities experienced in the payroll field of work and include access to:</w:t>
      </w:r>
    </w:p>
    <w:p w:rsidR="00000000" w:rsidRPr="009149F4" w:rsidP="009149F4">
      <w:pPr>
        <w:pStyle w:val="ListBullet"/>
      </w:pPr>
      <w:r w:rsidRPr="009149F4">
        <w:t>office equipment, techno</w:t>
      </w:r>
      <w:r w:rsidRPr="009149F4">
        <w:t>logy, software and consumables required to process complex employee terminations in payroll, including:</w:t>
      </w:r>
    </w:p>
    <w:p w:rsidR="00000000" w:rsidRPr="009149F4" w:rsidP="009149F4">
      <w:pPr>
        <w:pStyle w:val="ListBullet2"/>
      </w:pPr>
      <w:r w:rsidRPr="009149F4">
        <w:t>organisational policies and procedures</w:t>
      </w:r>
    </w:p>
    <w:p w:rsidR="00000000" w:rsidRPr="009149F4" w:rsidP="009149F4">
      <w:pPr>
        <w:pStyle w:val="ListBullet2"/>
      </w:pPr>
      <w:r w:rsidRPr="009149F4">
        <w:t>payroll system</w:t>
      </w:r>
    </w:p>
    <w:p w:rsidR="00DD63E3" w:rsidP="009149F4">
      <w:pPr>
        <w:pStyle w:val="ListBullet"/>
      </w:pPr>
      <w:r w:rsidRPr="009149F4">
        <w:t>case studies and, where available, real situations relating to the above work.</w:t>
      </w:r>
    </w:p>
    <w:p w:rsidR="00DD63E3" w:rsidP="009149F4">
      <w:pPr>
        <w:pStyle w:val="ListBullet"/>
      </w:pPr>
    </w:p>
    <w:p w:rsidR="00000000" w:rsidRPr="009149F4" w:rsidP="009149F4">
      <w:pPr>
        <w:pStyle w:val="Heading1"/>
      </w:pPr>
      <w:bookmarkStart w:id="5" w:name="O_975507"/>
      <w:bookmarkEnd w:id="5"/>
      <w:r w:rsidRPr="009149F4">
        <w:t>Links</w:t>
      </w:r>
    </w:p>
    <w:p w:rsidR="00000000" w:rsidRPr="009149F4" w:rsidP="00DD63E3">
      <w:pPr>
        <w:pStyle w:val="BodyText"/>
      </w:pPr>
      <w:r w:rsidRPr="009149F4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A175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149F4" w:rsidP="009149F4"/>
    <w:sectPr w:rsidSect="009149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F4" w:rsidRPr="00DD63E3" w:rsidP="00DD6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E3" w:rsidP="00914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3E3" w:rsidP="00914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63E3" w:rsidP="00914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9F4" w:rsidRPr="00DD63E3" w:rsidP="00DD6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3E3" w:rsidRPr="002D2AF8" w:rsidP="00914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FNSPAY503 Process complex employee terminations in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DD63E3" w:rsidP="00914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241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8CB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02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9F4"/>
  </w:style>
  <w:style w:type="character" w:customStyle="1" w:styleId="Heading1Char">
    <w:name w:val="Heading 1 Char"/>
    <w:basedOn w:val="DefaultParagraphFont"/>
    <w:link w:val="Heading1"/>
    <w:rsid w:val="00914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9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49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9F4"/>
    <w:rPr>
      <w:b/>
      <w:spacing w:val="0"/>
    </w:rPr>
  </w:style>
  <w:style w:type="paragraph" w:styleId="ListBullet2">
    <w:name w:val="List Bullet 2"/>
    <w:basedOn w:val="List2"/>
    <w:rsid w:val="009149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4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49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4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4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9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49F4"/>
    <w:rPr>
      <w:i/>
    </w:rPr>
  </w:style>
  <w:style w:type="paragraph" w:styleId="Caption">
    <w:name w:val="caption"/>
    <w:basedOn w:val="BodyText"/>
    <w:next w:val="Normal"/>
    <w:qFormat/>
    <w:rsid w:val="00914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9F4"/>
  </w:style>
  <w:style w:type="paragraph" w:styleId="TableofFigures">
    <w:name w:val="table of figures"/>
    <w:basedOn w:val="Normal"/>
    <w:next w:val="Normal"/>
    <w:semiHidden/>
    <w:rsid w:val="00914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9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49F4"/>
    <w:rPr>
      <w:rFonts w:ascii="Wingdings" w:hAnsi="Wingdings"/>
    </w:rPr>
  </w:style>
  <w:style w:type="paragraph" w:customStyle="1" w:styleId="TableHeading">
    <w:name w:val="Table Heading"/>
    <w:basedOn w:val="HeadingBase"/>
    <w:rsid w:val="00914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9F4"/>
    <w:rPr>
      <w:color w:val="0033CC"/>
      <w:u w:val="none"/>
    </w:rPr>
  </w:style>
  <w:style w:type="paragraph" w:customStyle="1" w:styleId="BodyTextRight">
    <w:name w:val="Body Text Right"/>
    <w:basedOn w:val="BodyText"/>
    <w:rsid w:val="00914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9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9F4"/>
    <w:rPr>
      <w:sz w:val="32"/>
    </w:rPr>
  </w:style>
  <w:style w:type="paragraph" w:customStyle="1" w:styleId="HeadingProcedure">
    <w:name w:val="Heading Procedure"/>
    <w:basedOn w:val="HeadingBase"/>
    <w:next w:val="Normal"/>
    <w:rsid w:val="00914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9F4"/>
    <w:pPr>
      <w:spacing w:before="60" w:after="60"/>
    </w:pPr>
  </w:style>
  <w:style w:type="paragraph" w:styleId="ListContinue">
    <w:name w:val="List Continue"/>
    <w:basedOn w:val="List"/>
    <w:rsid w:val="009149F4"/>
    <w:pPr>
      <w:ind w:firstLine="0"/>
    </w:pPr>
  </w:style>
  <w:style w:type="paragraph" w:customStyle="1" w:styleId="ListNote">
    <w:name w:val="List Note"/>
    <w:basedOn w:val="List"/>
    <w:rsid w:val="00914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9F4"/>
    <w:rPr>
      <w:rFonts w:ascii="Courier New" w:hAnsi="Courier New"/>
    </w:rPr>
  </w:style>
  <w:style w:type="paragraph" w:customStyle="1" w:styleId="NoteBullet">
    <w:name w:val="Note Bullet"/>
    <w:basedOn w:val="Note"/>
    <w:rsid w:val="00914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9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4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9F4"/>
    <w:rPr>
      <w:b/>
      <w:smallCaps/>
    </w:rPr>
  </w:style>
  <w:style w:type="paragraph" w:customStyle="1" w:styleId="TableListNumber">
    <w:name w:val="Table List Number"/>
    <w:basedOn w:val="ListNumber"/>
    <w:rsid w:val="00914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9F4"/>
    <w:pPr>
      <w:numPr>
        <w:numId w:val="9"/>
      </w:numPr>
    </w:pPr>
  </w:style>
  <w:style w:type="paragraph" w:customStyle="1" w:styleId="ListAlpha2">
    <w:name w:val="List Alpha 2"/>
    <w:basedOn w:val="List2"/>
    <w:rsid w:val="009149F4"/>
    <w:pPr>
      <w:numPr>
        <w:numId w:val="8"/>
      </w:numPr>
    </w:pPr>
  </w:style>
  <w:style w:type="paragraph" w:styleId="List2">
    <w:name w:val="List 2"/>
    <w:basedOn w:val="BodyText"/>
    <w:rsid w:val="00914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9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9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49F4"/>
    <w:pPr>
      <w:numPr>
        <w:numId w:val="4"/>
      </w:numPr>
    </w:pPr>
  </w:style>
  <w:style w:type="paragraph" w:styleId="ListContinue2">
    <w:name w:val="List Continue 2"/>
    <w:basedOn w:val="List2"/>
    <w:rsid w:val="009149F4"/>
    <w:pPr>
      <w:ind w:firstLine="0"/>
    </w:pPr>
  </w:style>
  <w:style w:type="paragraph" w:styleId="ListContinue3">
    <w:name w:val="List Continue 3"/>
    <w:basedOn w:val="List3"/>
    <w:rsid w:val="009149F4"/>
    <w:pPr>
      <w:ind w:left="1021" w:firstLine="0"/>
    </w:pPr>
  </w:style>
  <w:style w:type="paragraph" w:styleId="ListContinue4">
    <w:name w:val="List Continue 4"/>
    <w:basedOn w:val="List4"/>
    <w:rsid w:val="009149F4"/>
    <w:pPr>
      <w:ind w:firstLine="0"/>
    </w:pPr>
  </w:style>
  <w:style w:type="paragraph" w:styleId="ListContinue5">
    <w:name w:val="List Continue 5"/>
    <w:basedOn w:val="List5"/>
    <w:rsid w:val="009149F4"/>
    <w:pPr>
      <w:ind w:firstLine="0"/>
    </w:pPr>
  </w:style>
  <w:style w:type="paragraph" w:styleId="ListNumber3">
    <w:name w:val="List Number 3"/>
    <w:basedOn w:val="List3"/>
    <w:rsid w:val="009149F4"/>
    <w:pPr>
      <w:numPr>
        <w:numId w:val="5"/>
      </w:numPr>
    </w:pPr>
  </w:style>
  <w:style w:type="paragraph" w:styleId="ListNumber4">
    <w:name w:val="List Number 4"/>
    <w:basedOn w:val="List4"/>
    <w:rsid w:val="009149F4"/>
    <w:pPr>
      <w:numPr>
        <w:numId w:val="6"/>
      </w:numPr>
    </w:pPr>
  </w:style>
  <w:style w:type="paragraph" w:styleId="ListNumber5">
    <w:name w:val="List Number 5"/>
    <w:basedOn w:val="List5"/>
    <w:rsid w:val="009149F4"/>
    <w:pPr>
      <w:numPr>
        <w:numId w:val="7"/>
      </w:numPr>
    </w:pPr>
  </w:style>
  <w:style w:type="paragraph" w:styleId="BlockText">
    <w:name w:val="Block Text"/>
    <w:basedOn w:val="Normal"/>
    <w:rsid w:val="00914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9F4"/>
    <w:rPr>
      <w:sz w:val="16"/>
      <w:vertAlign w:val="superscript"/>
    </w:rPr>
  </w:style>
  <w:style w:type="character" w:customStyle="1" w:styleId="Symbols">
    <w:name w:val="Symbols"/>
    <w:basedOn w:val="DefaultParagraphFont"/>
    <w:rsid w:val="009149F4"/>
    <w:rPr>
      <w:rFonts w:ascii="Symbol" w:hAnsi="Symbol"/>
    </w:rPr>
  </w:style>
  <w:style w:type="character" w:customStyle="1" w:styleId="MenuOptions">
    <w:name w:val="Menu Options"/>
    <w:basedOn w:val="DefaultParagraphFont"/>
    <w:rsid w:val="00914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9F4"/>
    <w:rPr>
      <w:b/>
    </w:rPr>
  </w:style>
  <w:style w:type="character" w:customStyle="1" w:styleId="Underlined">
    <w:name w:val="Underlined"/>
    <w:basedOn w:val="DefaultParagraphFont"/>
    <w:rsid w:val="009149F4"/>
    <w:rPr>
      <w:u w:val="single"/>
    </w:rPr>
  </w:style>
  <w:style w:type="paragraph" w:customStyle="1" w:styleId="TableBodyTextRight">
    <w:name w:val="Table Body Text Right"/>
    <w:basedOn w:val="TableBodyText"/>
    <w:rsid w:val="00914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9F4"/>
    <w:rPr>
      <w:sz w:val="18"/>
    </w:rPr>
  </w:style>
  <w:style w:type="paragraph" w:customStyle="1" w:styleId="BodySmallRight">
    <w:name w:val="Body Small Right"/>
    <w:basedOn w:val="BodyTextRight"/>
    <w:rsid w:val="009149F4"/>
    <w:rPr>
      <w:sz w:val="18"/>
      <w:szCs w:val="18"/>
    </w:rPr>
  </w:style>
  <w:style w:type="paragraph" w:customStyle="1" w:styleId="MarginEdition">
    <w:name w:val="Margin Edition"/>
    <w:basedOn w:val="MarginNote"/>
    <w:rsid w:val="00914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9F4"/>
    <w:rPr>
      <w:sz w:val="2"/>
      <w:szCs w:val="2"/>
    </w:rPr>
  </w:style>
  <w:style w:type="character" w:customStyle="1" w:styleId="Small">
    <w:name w:val="Small"/>
    <w:basedOn w:val="DefaultParagraphFont"/>
    <w:rsid w:val="009149F4"/>
    <w:rPr>
      <w:sz w:val="16"/>
    </w:rPr>
  </w:style>
  <w:style w:type="paragraph" w:customStyle="1" w:styleId="WideTable">
    <w:name w:val="Wide Table"/>
    <w:basedOn w:val="Normal"/>
    <w:rsid w:val="00914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9F4"/>
  </w:style>
  <w:style w:type="paragraph" w:styleId="Quote">
    <w:name w:val="Quote"/>
    <w:basedOn w:val="Heading1"/>
    <w:link w:val="QuoteChar"/>
    <w:qFormat/>
    <w:rsid w:val="00914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9F4"/>
    <w:pPr>
      <w:pageBreakBefore/>
    </w:pPr>
  </w:style>
  <w:style w:type="paragraph" w:customStyle="1" w:styleId="Border">
    <w:name w:val="Border"/>
    <w:basedOn w:val="Normal"/>
    <w:qFormat/>
    <w:rsid w:val="00914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9F4"/>
    <w:rPr>
      <w:u w:val="single"/>
    </w:rPr>
  </w:style>
  <w:style w:type="character" w:customStyle="1" w:styleId="BoldandItalics">
    <w:name w:val="Bold and Italics"/>
    <w:qFormat/>
    <w:rsid w:val="009149F4"/>
    <w:rPr>
      <w:b/>
      <w:i/>
      <w:u w:val="none"/>
    </w:rPr>
  </w:style>
  <w:style w:type="paragraph" w:styleId="BalloonText">
    <w:name w:val="Balloon Text"/>
    <w:basedOn w:val="Normal"/>
    <w:link w:val="BalloonTextChar"/>
    <w:rsid w:val="00914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9F4"/>
    <w:pPr>
      <w:spacing w:before="0" w:after="0"/>
    </w:pPr>
  </w:style>
  <w:style w:type="paragraph" w:customStyle="1" w:styleId="BodyTextBold">
    <w:name w:val="Body Text Bold"/>
    <w:basedOn w:val="BodyText"/>
    <w:qFormat/>
    <w:rsid w:val="009149F4"/>
    <w:rPr>
      <w:b/>
    </w:rPr>
  </w:style>
  <w:style w:type="character" w:styleId="Hyperlink">
    <w:name w:val="Hyperlink"/>
    <w:basedOn w:val="DefaultParagraphFont"/>
    <w:uiPriority w:val="99"/>
    <w:unhideWhenUsed/>
    <w:rsid w:val="00DD6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3533</Characters>
  <Application>Microsoft Office Word</Application>
  <DocSecurity>0</DocSecurity>
  <Lines>103</Lines>
  <Paragraphs>81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FNSPAY503 Process complex employee terminations in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2022-01-27T02:35:00Z</dcterms:created>
  <dcterms:modified xsi:type="dcterms:W3CDTF">2022-01-27T02:35:00Z</dcterms:modified>
</cp:coreProperties>
</file>