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BB1" w:rsidP="00974BB1">
      <w:pPr>
        <w:pStyle w:val="Title"/>
      </w:pPr>
      <w:r>
        <w:fldChar w:fldCharType="begin"/>
      </w:r>
      <w:r>
        <w:instrText xml:space="preserve"> TITLE   \* MERGEFORMAT </w:instrText>
      </w:r>
      <w:r>
        <w:fldChar w:fldCharType="separate"/>
      </w:r>
      <w:r>
        <w:t>Assessment Requirements for FNSPAY502 Process superannuation payments in payroll</w:t>
      </w:r>
      <w:r>
        <w:fldChar w:fldCharType="end"/>
      </w:r>
    </w:p>
    <w:p w:rsidR="00974BB1" w:rsidP="00974BB1">
      <w:pPr>
        <w:pStyle w:val="Version"/>
        <w:sectPr w:rsidSect="00A04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7EE" w:rsidP="00A047EE">
      <w:pPr>
        <w:pStyle w:val="SuperHeading"/>
      </w:pPr>
      <w:r w:rsidRPr="00A047EE">
        <w:t>Assessment Requirements for FNSPAY502 Process superannuation payments in payroll</w:t>
      </w:r>
    </w:p>
    <w:p w:rsidR="00000000" w:rsidRPr="00A047EE" w:rsidP="00A047EE">
      <w:pPr>
        <w:pStyle w:val="Heading1"/>
      </w:pPr>
      <w:bookmarkStart w:id="1" w:name="O_975482"/>
      <w:bookmarkEnd w:id="1"/>
      <w:r w:rsidRPr="00A047EE">
        <w:t>Modification History</w:t>
      </w:r>
    </w:p>
    <w:tbl>
      <w:tblPr>
        <w:tblW w:w="0" w:type="auto"/>
        <w:tblLayout w:type="fixed"/>
        <w:tblCellMar>
          <w:left w:w="62" w:type="dxa"/>
          <w:right w:w="62" w:type="dxa"/>
        </w:tblCellMar>
        <w:tblLook w:val="0000"/>
      </w:tblPr>
      <w:tblGrid>
        <w:gridCol w:w="3029"/>
        <w:gridCol w:w="5873"/>
      </w:tblGrid>
      <w:tr w:rsidTr="00A047EE">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7EE" w:rsidP="00A047EE">
            <w:pPr>
              <w:pStyle w:val="BodyText"/>
            </w:pPr>
            <w:r w:rsidRPr="00A047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7EE">
            <w:pPr>
              <w:pStyle w:val="BodyText"/>
              <w:rPr>
                <w:lang w:val="en-NZ"/>
              </w:rPr>
            </w:pPr>
            <w:r w:rsidRPr="00A047EE">
              <w:rPr>
                <w:rStyle w:val="SpecialBold"/>
              </w:rPr>
              <w:t>Comments</w:t>
            </w:r>
          </w:p>
        </w:tc>
      </w:tr>
      <w:tr w:rsidTr="00A047EE">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7EE">
            <w:pPr>
              <w:pStyle w:val="BodyText"/>
              <w:rPr>
                <w:lang w:val="en-NZ"/>
              </w:rPr>
            </w:pPr>
            <w:r w:rsidRPr="00A047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7EE" w:rsidP="00A047EE">
            <w:pPr>
              <w:pStyle w:val="BodyText"/>
            </w:pPr>
            <w:r w:rsidRPr="00A047EE">
              <w:t>This version first released with FNS Financial Services Training Package Version 3.0.</w:t>
            </w:r>
          </w:p>
        </w:tc>
      </w:tr>
    </w:tbl>
    <w:p w:rsidR="00000000" w:rsidRPr="00A047EE" w:rsidP="00A047EE">
      <w:pPr>
        <w:pStyle w:val="BodyText"/>
      </w:pPr>
    </w:p>
    <w:p w:rsidR="00000000" w:rsidRPr="00A047EE" w:rsidP="00A047EE">
      <w:pPr>
        <w:pStyle w:val="AllowPageBreak"/>
      </w:pPr>
    </w:p>
    <w:p w:rsidR="00000000" w:rsidRPr="00A047EE" w:rsidP="00A047EE">
      <w:pPr>
        <w:pStyle w:val="Heading1"/>
      </w:pPr>
      <w:bookmarkStart w:id="2" w:name="O_975483"/>
      <w:bookmarkEnd w:id="2"/>
      <w:r w:rsidRPr="00A047EE">
        <w:t>Performance Evidence</w:t>
      </w:r>
    </w:p>
    <w:p w:rsidR="00000000" w:rsidRPr="00A047EE" w:rsidP="00974BB1">
      <w:pPr>
        <w:pStyle w:val="BodyText"/>
      </w:pPr>
      <w:r w:rsidRPr="00A047EE">
        <w:t>Evidence of the ability to:</w:t>
      </w:r>
    </w:p>
    <w:p w:rsidR="00000000" w:rsidRPr="00A047EE" w:rsidP="00A047EE">
      <w:pPr>
        <w:pStyle w:val="ListBullet"/>
      </w:pPr>
      <w:r w:rsidRPr="00A047EE">
        <w:t>establish procedures to ensure employee superannuation information is handled according to legislative and organisational obligations, including:</w:t>
      </w:r>
    </w:p>
    <w:p w:rsidR="00000000" w:rsidRPr="00A047EE" w:rsidP="00A047EE">
      <w:pPr>
        <w:pStyle w:val="ListBullet2"/>
      </w:pPr>
      <w:r w:rsidRPr="00A047EE">
        <w:t>Income Tax Assessment Act</w:t>
      </w:r>
    </w:p>
    <w:p w:rsidR="00000000" w:rsidRPr="00A047EE" w:rsidP="00A047EE">
      <w:pPr>
        <w:pStyle w:val="ListBullet2"/>
      </w:pPr>
      <w:r w:rsidRPr="00A047EE">
        <w:t>Superannuation Guarantee (Administration) Act</w:t>
      </w:r>
    </w:p>
    <w:p w:rsidR="00000000" w:rsidRPr="00A047EE" w:rsidP="00A047EE">
      <w:pPr>
        <w:pStyle w:val="ListBullet2"/>
      </w:pPr>
      <w:r w:rsidRPr="00A047EE">
        <w:t>Fair Work Act</w:t>
      </w:r>
    </w:p>
    <w:p w:rsidR="00000000" w:rsidRPr="00A047EE" w:rsidP="00A047EE">
      <w:pPr>
        <w:pStyle w:val="ListBullet2"/>
      </w:pPr>
      <w:r w:rsidRPr="00A047EE">
        <w:t>Privacy Act</w:t>
      </w:r>
    </w:p>
    <w:p w:rsidR="00000000" w:rsidRPr="00A047EE" w:rsidP="00A047EE">
      <w:pPr>
        <w:pStyle w:val="ListBullet"/>
      </w:pPr>
      <w:r w:rsidRPr="00A047EE">
        <w:t>collect information required to process superannuation payments in a payroll system</w:t>
      </w:r>
    </w:p>
    <w:p w:rsidR="00000000" w:rsidRPr="00A047EE" w:rsidP="00A047EE">
      <w:pPr>
        <w:pStyle w:val="ListBullet"/>
      </w:pPr>
      <w:r w:rsidRPr="00A047EE">
        <w:t>interact with stakeholders to ensure completeness and accuracy of information required to process s</w:t>
      </w:r>
      <w:r w:rsidRPr="00A047EE">
        <w:t>uperannuation payments</w:t>
      </w:r>
    </w:p>
    <w:p w:rsidR="00000000" w:rsidRPr="00A047EE" w:rsidP="00A047EE">
      <w:pPr>
        <w:pStyle w:val="ListBullet"/>
      </w:pPr>
      <w:r w:rsidRPr="00A047EE">
        <w:t>calculate superannuation payments using a payroll system based on ordinary time earnings</w:t>
      </w:r>
    </w:p>
    <w:p w:rsidR="00000000" w:rsidRPr="00A047EE" w:rsidP="00A047EE">
      <w:pPr>
        <w:pStyle w:val="ListBullet"/>
      </w:pPr>
      <w:r w:rsidRPr="00A047EE">
        <w:t>calculate reportable superannuation payments for inclusion in employee payment summaries</w:t>
      </w:r>
    </w:p>
    <w:p w:rsidR="00000000" w:rsidRPr="00A047EE" w:rsidP="00A047EE">
      <w:pPr>
        <w:pStyle w:val="ListBullet"/>
      </w:pPr>
      <w:r w:rsidRPr="00A047EE">
        <w:t>prepare, produce, distribute and store reports on super</w:t>
      </w:r>
      <w:r w:rsidRPr="00A047EE">
        <w:t>annuation payments according to organisational and legislative requirements.</w:t>
      </w:r>
    </w:p>
    <w:p w:rsidR="00000000" w:rsidRPr="00A047EE" w:rsidP="00A047EE">
      <w:pPr>
        <w:pStyle w:val="BodyText"/>
      </w:pPr>
    </w:p>
    <w:p w:rsidR="00974BB1" w:rsidP="00974BB1">
      <w:pPr>
        <w:pStyle w:val="BodyText"/>
      </w:pPr>
      <w:r w:rsidRPr="00A047EE">
        <w:t>Note: If a specific volume or frequency is not stated, then evidence must be provided at least once.</w:t>
      </w:r>
    </w:p>
    <w:p w:rsidR="00000000" w:rsidRPr="00A047EE" w:rsidP="00A047EE">
      <w:pPr>
        <w:pStyle w:val="Heading1"/>
      </w:pPr>
      <w:bookmarkStart w:id="3" w:name="O_975484"/>
      <w:bookmarkEnd w:id="3"/>
      <w:r w:rsidRPr="00A047EE">
        <w:t>Knowledge Evidence</w:t>
      </w:r>
    </w:p>
    <w:p w:rsidR="00000000" w:rsidRPr="00A047EE" w:rsidP="00974BB1">
      <w:pPr>
        <w:pStyle w:val="BodyText"/>
      </w:pPr>
      <w:r w:rsidRPr="00A047EE">
        <w:t>The candidate must be able to demonstrat</w:t>
      </w:r>
      <w:r w:rsidRPr="00A047EE">
        <w:t>e the following knowledge to effectively complete the tasks outlined in the elements and performance criteria of this unit, and to manage tasks and reasonably foreseeable contingencies in the context of the work role.</w:t>
      </w:r>
    </w:p>
    <w:p w:rsidR="00000000" w:rsidRPr="00A047EE" w:rsidP="00A047EE">
      <w:pPr>
        <w:pStyle w:val="ListBullet"/>
      </w:pPr>
      <w:r w:rsidRPr="00A047EE">
        <w:t>Key legislation and organisational policies and procedures relating to calculating superannuation payments for employees</w:t>
      </w:r>
    </w:p>
    <w:p w:rsidR="00000000" w:rsidRPr="00A047EE" w:rsidP="00A047EE">
      <w:pPr>
        <w:pStyle w:val="ListBullet"/>
      </w:pPr>
      <w:r w:rsidRPr="00A047EE">
        <w:t>Key features of different types of superannuation funds</w:t>
      </w:r>
    </w:p>
    <w:p w:rsidR="00000000" w:rsidRPr="00A047EE" w:rsidP="00A047EE">
      <w:pPr>
        <w:pStyle w:val="ListBullet"/>
      </w:pPr>
      <w:r w:rsidRPr="00A047EE">
        <w:t>Different types of superannuation payments, including:</w:t>
      </w:r>
    </w:p>
    <w:p w:rsidR="00000000" w:rsidRPr="00A047EE" w:rsidP="00A047EE">
      <w:pPr>
        <w:pStyle w:val="ListBullet2"/>
      </w:pPr>
      <w:r w:rsidRPr="00A047EE">
        <w:t>employer contributions</w:t>
      </w:r>
    </w:p>
    <w:p w:rsidR="00000000" w:rsidRPr="00A047EE" w:rsidP="00A047EE">
      <w:pPr>
        <w:pStyle w:val="ListBullet2"/>
      </w:pPr>
      <w:r w:rsidRPr="00A047EE">
        <w:t>salary sacrifice to superannuation</w:t>
      </w:r>
    </w:p>
    <w:p w:rsidR="00000000" w:rsidRPr="00A047EE" w:rsidP="00A047EE">
      <w:pPr>
        <w:pStyle w:val="ListBullet2"/>
      </w:pPr>
      <w:r w:rsidRPr="00A047EE">
        <w:t>employee after-tax contributions</w:t>
      </w:r>
    </w:p>
    <w:p w:rsidR="00000000" w:rsidRPr="00A047EE" w:rsidP="00A047EE">
      <w:pPr>
        <w:pStyle w:val="ListBullet2"/>
      </w:pPr>
      <w:r w:rsidRPr="00A047EE">
        <w:t>defined benefits</w:t>
      </w:r>
    </w:p>
    <w:p w:rsidR="00000000" w:rsidRPr="00A047EE" w:rsidP="00A047EE">
      <w:pPr>
        <w:pStyle w:val="ListBullet2"/>
      </w:pPr>
      <w:r w:rsidRPr="00A047EE">
        <w:t>government co-contribution</w:t>
      </w:r>
    </w:p>
    <w:p w:rsidR="00000000" w:rsidRPr="00A047EE" w:rsidP="00A047EE">
      <w:pPr>
        <w:pStyle w:val="ListBullet2"/>
      </w:pPr>
      <w:r w:rsidRPr="00A047EE">
        <w:t>superannuation guarantee charge</w:t>
      </w:r>
    </w:p>
    <w:p w:rsidR="00000000" w:rsidRPr="00A047EE" w:rsidP="00A047EE">
      <w:pPr>
        <w:pStyle w:val="ListBullet"/>
      </w:pPr>
      <w:r w:rsidRPr="00A047EE">
        <w:t>Eligibility requirements in relation to employer superannuation contributions</w:t>
      </w:r>
    </w:p>
    <w:p w:rsidR="00000000" w:rsidRPr="00A047EE" w:rsidP="00A047EE">
      <w:pPr>
        <w:pStyle w:val="ListBullet"/>
      </w:pPr>
      <w:r w:rsidRPr="00A047EE">
        <w:t>Pay items that are included in or</w:t>
      </w:r>
      <w:r w:rsidRPr="00A047EE">
        <w:t>dinary time earnings</w:t>
      </w:r>
    </w:p>
    <w:p w:rsidR="00000000" w:rsidRPr="00A047EE" w:rsidP="00A047EE">
      <w:pPr>
        <w:pStyle w:val="ListBullet"/>
      </w:pPr>
      <w:r w:rsidRPr="00A047EE">
        <w:t>Consequences of not reaching the maximum contributions earnings base for the quarter</w:t>
      </w:r>
    </w:p>
    <w:p w:rsidR="00000000" w:rsidRPr="00A047EE" w:rsidP="00A047EE">
      <w:pPr>
        <w:pStyle w:val="ListBullet"/>
      </w:pPr>
      <w:r w:rsidRPr="00A047EE">
        <w:t>Difference between concessional and non-concessional contributions and the impact on an employee of exceeding the concessional superannuation cap</w:t>
      </w:r>
    </w:p>
    <w:p w:rsidR="00000000" w:rsidRPr="00A047EE" w:rsidP="00A047EE">
      <w:pPr>
        <w:pStyle w:val="ListBullet"/>
      </w:pPr>
      <w:r w:rsidRPr="00A047EE">
        <w:t>Guid</w:t>
      </w:r>
      <w:r w:rsidRPr="00A047EE">
        <w:t>elines for implementing an effective salary sacrifice agreement for superannuation</w:t>
      </w:r>
    </w:p>
    <w:p w:rsidR="00000000" w:rsidRPr="00A047EE" w:rsidP="00A047EE">
      <w:pPr>
        <w:pStyle w:val="ListBullet"/>
      </w:pPr>
      <w:r w:rsidRPr="00A047EE">
        <w:t>Effect of various forms of salary packaging on the employer requirement to meet employer superannuation contribution obligations</w:t>
      </w:r>
    </w:p>
    <w:p w:rsidR="00000000" w:rsidRPr="00A047EE" w:rsidP="00A047EE">
      <w:pPr>
        <w:pStyle w:val="ListBullet"/>
      </w:pPr>
      <w:r w:rsidRPr="00A047EE">
        <w:t>Impact of different types of employment contracts, legal entities and business structures on an employer’s superannuation payment obligations to its employees</w:t>
      </w:r>
    </w:p>
    <w:p w:rsidR="00974BB1" w:rsidP="00A047EE">
      <w:pPr>
        <w:pStyle w:val="ListBullet"/>
      </w:pPr>
      <w:r w:rsidRPr="00A047EE">
        <w:t>Consequences for an organisation of failing to comply with its superannuation payment obligations</w:t>
      </w:r>
      <w:r w:rsidRPr="00A047EE">
        <w:t xml:space="preserve"> to employees</w:t>
      </w:r>
    </w:p>
    <w:p w:rsidR="00974BB1" w:rsidP="00A047EE">
      <w:pPr>
        <w:pStyle w:val="ListBullet"/>
      </w:pPr>
    </w:p>
    <w:p w:rsidR="00000000" w:rsidRPr="00A047EE" w:rsidP="00A047EE">
      <w:pPr>
        <w:pStyle w:val="Heading1"/>
      </w:pPr>
      <w:bookmarkStart w:id="4" w:name="O_975485"/>
      <w:bookmarkEnd w:id="4"/>
      <w:r w:rsidRPr="00A047EE">
        <w:t>Assessment Conditions</w:t>
      </w:r>
    </w:p>
    <w:p w:rsidR="00000000" w:rsidRPr="00A047EE" w:rsidP="00974BB1">
      <w:pPr>
        <w:pStyle w:val="BodyText"/>
      </w:pPr>
      <w:r w:rsidRPr="00A047EE">
        <w:t>Assessment must be conducted in a safe environment where evidence gathered demonstrates consistent performance of typical activities experienced in the payroll field of work and include access to:</w:t>
      </w:r>
    </w:p>
    <w:p w:rsidR="00000000" w:rsidRPr="00A047EE" w:rsidP="00A047EE">
      <w:pPr>
        <w:pStyle w:val="ListBullet"/>
      </w:pPr>
      <w:r w:rsidRPr="00A047EE">
        <w:t>offi</w:t>
      </w:r>
      <w:r w:rsidRPr="00A047EE">
        <w:t>ce equipment, technology, software and consumables required to process superannuation payments in payroll, including:</w:t>
      </w:r>
    </w:p>
    <w:p w:rsidR="00000000" w:rsidRPr="00A047EE" w:rsidP="00A047EE">
      <w:pPr>
        <w:pStyle w:val="ListBullet2"/>
      </w:pPr>
      <w:r w:rsidRPr="00A047EE">
        <w:t>organisational policies and procedures</w:t>
      </w:r>
    </w:p>
    <w:p w:rsidR="00000000" w:rsidRPr="00A047EE" w:rsidP="00A047EE">
      <w:pPr>
        <w:pStyle w:val="ListBullet2"/>
      </w:pPr>
      <w:r w:rsidRPr="00A047EE">
        <w:t>payroll system</w:t>
      </w:r>
    </w:p>
    <w:p w:rsidR="00000000" w:rsidRPr="00A047EE" w:rsidP="00A047EE">
      <w:pPr>
        <w:pStyle w:val="ListBullet"/>
      </w:pPr>
      <w:r w:rsidRPr="00A047EE">
        <w:t>case studies and, where available, real situations relating to the above work.</w:t>
      </w:r>
    </w:p>
    <w:p w:rsidR="00000000" w:rsidRPr="00A047EE" w:rsidP="00A047EE">
      <w:pPr>
        <w:pStyle w:val="BodyText"/>
      </w:pPr>
    </w:p>
    <w:p w:rsidR="00974BB1" w:rsidP="00974BB1">
      <w:pPr>
        <w:pStyle w:val="BodyText"/>
      </w:pPr>
      <w:r w:rsidRPr="00A047EE">
        <w:t>As</w:t>
      </w:r>
      <w:r w:rsidRPr="00A047EE">
        <w:t>sessors of this unit must satisfy the assessor requirements in applicable vocational education and training legislation, frameworks and/or standards.</w:t>
      </w:r>
    </w:p>
    <w:p w:rsidR="00000000" w:rsidRPr="00A047EE" w:rsidP="00A047EE">
      <w:pPr>
        <w:pStyle w:val="Heading1"/>
      </w:pPr>
      <w:bookmarkStart w:id="5" w:name="O_975488"/>
      <w:bookmarkEnd w:id="5"/>
      <w:r w:rsidRPr="00A047EE">
        <w:t>Links</w:t>
      </w:r>
    </w:p>
    <w:p w:rsidR="00000000" w:rsidRPr="00A047EE" w:rsidP="00974BB1">
      <w:pPr>
        <w:pStyle w:val="BodyText"/>
      </w:pPr>
      <w:r w:rsidRPr="00A047EE">
        <w:t xml:space="preserve">Companion volumes are available from VETNet. - </w:t>
      </w:r>
      <w:r>
        <w:fldChar w:fldCharType="begin"/>
      </w:r>
      <w:r>
        <w:instrText xml:space="preserve"> HYPERLINK "https://vetnet.gov.au/Pages/TrainingDocs.aspx?q=c7200cc8-0566-4f04-b76f-e89fd6f102fe" </w:instrText>
      </w:r>
      <w:r>
        <w:fldChar w:fldCharType="separate"/>
      </w:r>
      <w:r w:rsidRPr="00494B28">
        <w:rPr>
          <w:rStyle w:val="Hyperlink"/>
        </w:rPr>
        <w:t>https://vetnet.gov.au/Pages/TrainingDocs.aspx?q=c7200cc8-0566-4f04-b76f-e89fd6f102fe</w:t>
      </w:r>
      <w:r>
        <w:fldChar w:fldCharType="end"/>
      </w:r>
    </w:p>
    <w:p w:rsidR="00000000" w:rsidRPr="00A047EE" w:rsidP="00A047EE"/>
    <w:sectPr w:rsidSect="00A047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7EE" w:rsidRPr="00974BB1" w:rsidP="00974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B1" w:rsidP="00A04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4BB1" w:rsidP="00A047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74BB1" w:rsidP="00A04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7EE" w:rsidRPr="00974BB1" w:rsidP="00974B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B1" w:rsidRPr="002D2AF8" w:rsidP="00A047EE">
    <w:pPr>
      <w:pStyle w:val="Header"/>
      <w:framePr w:wrap="around"/>
    </w:pPr>
    <w:r>
      <w:fldChar w:fldCharType="begin"/>
    </w:r>
    <w:r>
      <w:instrText xml:space="preserve"> TITLE   \* MERGEFORMAT </w:instrText>
    </w:r>
    <w:r>
      <w:fldChar w:fldCharType="separate"/>
    </w:r>
    <w:r>
      <w:t>Assessment Requirements for FNSPAY502 Process superannuation payments in payroll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974BB1" w:rsidP="00A04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EA2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46F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02B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7EE"/>
    <w:pPr>
      <w:spacing w:before="360" w:after="60"/>
      <w:outlineLvl w:val="0"/>
    </w:pPr>
    <w:rPr>
      <w:sz w:val="32"/>
    </w:rPr>
  </w:style>
  <w:style w:type="paragraph" w:styleId="Heading2">
    <w:name w:val="heading 2"/>
    <w:basedOn w:val="HeadingBase"/>
    <w:next w:val="BodyText"/>
    <w:link w:val="Heading2Char"/>
    <w:qFormat/>
    <w:rsid w:val="00A047EE"/>
    <w:pPr>
      <w:keepLines/>
      <w:spacing w:before="240" w:after="120"/>
      <w:outlineLvl w:val="1"/>
    </w:pPr>
    <w:rPr>
      <w:sz w:val="28"/>
      <w:szCs w:val="40"/>
    </w:rPr>
  </w:style>
  <w:style w:type="paragraph" w:styleId="Heading3">
    <w:name w:val="heading 3"/>
    <w:basedOn w:val="HeadingBase"/>
    <w:next w:val="BodyText"/>
    <w:link w:val="Heading3Char"/>
    <w:qFormat/>
    <w:rsid w:val="00A047EE"/>
    <w:pPr>
      <w:spacing w:before="180" w:after="120"/>
      <w:outlineLvl w:val="2"/>
    </w:pPr>
    <w:rPr>
      <w:spacing w:val="-10"/>
      <w:kern w:val="32"/>
    </w:rPr>
  </w:style>
  <w:style w:type="paragraph" w:styleId="Heading4">
    <w:name w:val="heading 4"/>
    <w:basedOn w:val="HeadingBase"/>
    <w:next w:val="BodyText"/>
    <w:link w:val="Heading4Char"/>
    <w:qFormat/>
    <w:rsid w:val="00A047EE"/>
    <w:pPr>
      <w:spacing w:before="160" w:after="120"/>
      <w:outlineLvl w:val="3"/>
    </w:pPr>
    <w:rPr>
      <w:sz w:val="22"/>
    </w:rPr>
  </w:style>
  <w:style w:type="paragraph" w:styleId="Heading5">
    <w:name w:val="heading 5"/>
    <w:basedOn w:val="HeadingBase"/>
    <w:next w:val="Normal"/>
    <w:link w:val="Heading5Char"/>
    <w:qFormat/>
    <w:rsid w:val="00A047EE"/>
    <w:pPr>
      <w:spacing w:before="80"/>
      <w:outlineLvl w:val="4"/>
    </w:pPr>
    <w:rPr>
      <w:color w:val="918585"/>
      <w:sz w:val="20"/>
    </w:rPr>
  </w:style>
  <w:style w:type="paragraph" w:styleId="Heading6">
    <w:name w:val="heading 6"/>
    <w:basedOn w:val="HeadingBase"/>
    <w:next w:val="Normal"/>
    <w:link w:val="Heading6Char"/>
    <w:qFormat/>
    <w:rsid w:val="00A047EE"/>
    <w:pPr>
      <w:spacing w:before="60"/>
      <w:outlineLvl w:val="5"/>
    </w:pPr>
    <w:rPr>
      <w:color w:val="918585"/>
      <w:sz w:val="20"/>
    </w:rPr>
  </w:style>
  <w:style w:type="paragraph" w:styleId="Heading7">
    <w:name w:val="heading 7"/>
    <w:basedOn w:val="Normal"/>
    <w:next w:val="Normal"/>
    <w:link w:val="Heading7Char"/>
    <w:qFormat/>
    <w:rsid w:val="00A047EE"/>
    <w:pPr>
      <w:ind w:left="720"/>
      <w:outlineLvl w:val="6"/>
    </w:pPr>
    <w:rPr>
      <w:i/>
    </w:rPr>
  </w:style>
  <w:style w:type="paragraph" w:styleId="Heading8">
    <w:name w:val="heading 8"/>
    <w:basedOn w:val="Normal"/>
    <w:next w:val="Normal"/>
    <w:link w:val="Heading8Char"/>
    <w:qFormat/>
    <w:rsid w:val="00A047EE"/>
    <w:pPr>
      <w:ind w:left="720"/>
      <w:outlineLvl w:val="7"/>
    </w:pPr>
    <w:rPr>
      <w:i/>
    </w:rPr>
  </w:style>
  <w:style w:type="paragraph" w:styleId="Heading9">
    <w:name w:val="heading 9"/>
    <w:basedOn w:val="Normal"/>
    <w:next w:val="Normal"/>
    <w:link w:val="Heading9Char"/>
    <w:qFormat/>
    <w:rsid w:val="00A047EE"/>
    <w:pPr>
      <w:ind w:left="720"/>
      <w:outlineLvl w:val="8"/>
    </w:pPr>
    <w:rPr>
      <w:i/>
    </w:rPr>
  </w:style>
  <w:style w:type="character" w:default="1" w:styleId="DefaultParagraphFont">
    <w:name w:val="Default Paragraph Font"/>
    <w:uiPriority w:val="1"/>
    <w:unhideWhenUsed/>
    <w:rsid w:val="00A04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7EE"/>
  </w:style>
  <w:style w:type="character" w:customStyle="1" w:styleId="Heading1Char">
    <w:name w:val="Heading 1 Char"/>
    <w:basedOn w:val="DefaultParagraphFont"/>
    <w:link w:val="Heading1"/>
    <w:rsid w:val="00A047EE"/>
    <w:rPr>
      <w:rFonts w:ascii="Times New Roman" w:eastAsia="Times New Roman" w:hAnsi="Times New Roman" w:cs="Times New Roman"/>
      <w:b/>
      <w:sz w:val="32"/>
      <w:szCs w:val="20"/>
      <w:lang w:eastAsia="en-US"/>
    </w:rPr>
  </w:style>
  <w:style w:type="paragraph" w:styleId="BodyText">
    <w:name w:val="Body Text"/>
    <w:basedOn w:val="Normal"/>
    <w:link w:val="BodyTextChar"/>
    <w:rsid w:val="00A04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7EE"/>
    <w:rPr>
      <w:rFonts w:ascii="Times New Roman" w:eastAsia="Times New Roman" w:hAnsi="Times New Roman" w:cs="Times New Roman"/>
      <w:sz w:val="24"/>
      <w:lang w:eastAsia="en-US"/>
    </w:rPr>
  </w:style>
  <w:style w:type="paragraph" w:styleId="ListBullet">
    <w:name w:val="List Bullet"/>
    <w:basedOn w:val="List"/>
    <w:rsid w:val="00A047EE"/>
    <w:pPr>
      <w:numPr>
        <w:numId w:val="12"/>
      </w:numPr>
      <w:tabs>
        <w:tab w:val="clear" w:pos="340"/>
      </w:tabs>
      <w:spacing w:before="40" w:after="40"/>
    </w:pPr>
  </w:style>
  <w:style w:type="character" w:customStyle="1" w:styleId="SpecialBold">
    <w:name w:val="Special Bold"/>
    <w:basedOn w:val="DefaultParagraphFont"/>
    <w:rsid w:val="00A047EE"/>
    <w:rPr>
      <w:b/>
      <w:spacing w:val="0"/>
    </w:rPr>
  </w:style>
  <w:style w:type="paragraph" w:styleId="ListBullet2">
    <w:name w:val="List Bullet 2"/>
    <w:basedOn w:val="List2"/>
    <w:rsid w:val="00A047EE"/>
    <w:pPr>
      <w:numPr>
        <w:numId w:val="13"/>
      </w:numPr>
      <w:tabs>
        <w:tab w:val="clear" w:pos="680"/>
      </w:tabs>
    </w:pPr>
  </w:style>
  <w:style w:type="paragraph" w:customStyle="1" w:styleId="SuperHeading">
    <w:name w:val="SuperHeading"/>
    <w:basedOn w:val="Normal"/>
    <w:rsid w:val="00A047EE"/>
    <w:pPr>
      <w:spacing w:before="240" w:after="120"/>
      <w:outlineLvl w:val="0"/>
    </w:pPr>
    <w:rPr>
      <w:rFonts w:ascii="Times New Roman" w:hAnsi="Times New Roman"/>
      <w:b/>
      <w:sz w:val="32"/>
    </w:rPr>
  </w:style>
  <w:style w:type="paragraph" w:customStyle="1" w:styleId="AllowPageBreak">
    <w:name w:val="AllowPageBreak"/>
    <w:rsid w:val="00A04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4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7EE"/>
    <w:rPr>
      <w:rFonts w:ascii="Courier New" w:eastAsia="Times New Roman" w:hAnsi="Courier New" w:cs="Times New Roman"/>
      <w:i/>
      <w:szCs w:val="20"/>
      <w:lang w:eastAsia="en-US"/>
    </w:rPr>
  </w:style>
  <w:style w:type="paragraph" w:customStyle="1" w:styleId="HeadingBase">
    <w:name w:val="Heading Base"/>
    <w:rsid w:val="00A04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7EE"/>
    <w:pPr>
      <w:tabs>
        <w:tab w:val="right" w:leader="dot" w:pos="9072"/>
      </w:tabs>
      <w:ind w:left="567"/>
    </w:pPr>
    <w:rPr>
      <w:szCs w:val="22"/>
    </w:rPr>
  </w:style>
  <w:style w:type="paragraph" w:customStyle="1" w:styleId="TOCBase">
    <w:name w:val="TOC Base"/>
    <w:rsid w:val="00A04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7EE"/>
    <w:pPr>
      <w:tabs>
        <w:tab w:val="right" w:leader="dot" w:pos="9072"/>
      </w:tabs>
      <w:spacing w:before="40" w:after="40"/>
      <w:ind w:left="284"/>
    </w:pPr>
    <w:rPr>
      <w:rFonts w:ascii="Times New Roman" w:hAnsi="Times New Roman"/>
    </w:rPr>
  </w:style>
  <w:style w:type="paragraph" w:styleId="TOC1">
    <w:name w:val="toc 1"/>
    <w:basedOn w:val="TOCBase"/>
    <w:next w:val="Normal"/>
    <w:rsid w:val="00A04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7EE"/>
    <w:rPr>
      <w:rFonts w:ascii="Times New Roman" w:eastAsia="Times New Roman" w:hAnsi="Times New Roman" w:cs="Times New Roman"/>
      <w:sz w:val="16"/>
      <w:lang w:eastAsia="en-US"/>
    </w:rPr>
  </w:style>
  <w:style w:type="paragraph" w:styleId="Title">
    <w:name w:val="Title"/>
    <w:basedOn w:val="HeadingBase"/>
    <w:link w:val="TitleChar"/>
    <w:qFormat/>
    <w:rsid w:val="00A047EE"/>
    <w:pPr>
      <w:spacing w:before="5040"/>
      <w:jc w:val="center"/>
    </w:pPr>
    <w:rPr>
      <w:sz w:val="48"/>
      <w:szCs w:val="72"/>
      <w:lang w:val="en-US"/>
    </w:rPr>
  </w:style>
  <w:style w:type="character" w:customStyle="1" w:styleId="TitleChar">
    <w:name w:val="Title Char"/>
    <w:basedOn w:val="DefaultParagraphFont"/>
    <w:link w:val="Title"/>
    <w:rsid w:val="00A04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7EE"/>
    <w:pPr>
      <w:tabs>
        <w:tab w:val="left" w:pos="3600"/>
        <w:tab w:val="left" w:pos="3958"/>
      </w:tabs>
    </w:pPr>
  </w:style>
  <w:style w:type="paragraph" w:styleId="List">
    <w:name w:val="List"/>
    <w:basedOn w:val="BodyText"/>
    <w:next w:val="BodyText"/>
    <w:rsid w:val="00A047EE"/>
    <w:pPr>
      <w:tabs>
        <w:tab w:val="left" w:pos="340"/>
      </w:tabs>
      <w:spacing w:before="60" w:after="60"/>
      <w:ind w:left="340" w:hanging="340"/>
    </w:pPr>
  </w:style>
  <w:style w:type="paragraph" w:customStyle="1" w:styleId="Note">
    <w:name w:val="Note"/>
    <w:basedOn w:val="BodyText"/>
    <w:rsid w:val="00A04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7EE"/>
    <w:pPr>
      <w:framePr w:wrap="auto" w:hAnchor="text" w:y="6049"/>
    </w:pPr>
    <w:rPr>
      <w:color w:val="000000"/>
      <w:sz w:val="40"/>
    </w:rPr>
  </w:style>
  <w:style w:type="paragraph" w:customStyle="1" w:styleId="TOCTitle">
    <w:name w:val="TOCTitle"/>
    <w:basedOn w:val="Heading1"/>
    <w:rsid w:val="00A047EE"/>
    <w:pPr>
      <w:spacing w:after="240"/>
      <w:jc w:val="center"/>
      <w:outlineLvl w:val="9"/>
    </w:pPr>
    <w:rPr>
      <w:caps/>
    </w:rPr>
  </w:style>
  <w:style w:type="paragraph" w:customStyle="1" w:styleId="Version">
    <w:name w:val="Version"/>
    <w:rsid w:val="00A04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7EE"/>
    <w:pPr>
      <w:keepNext w:val="0"/>
      <w:tabs>
        <w:tab w:val="right" w:pos="4176"/>
      </w:tabs>
      <w:ind w:left="198" w:hanging="198"/>
    </w:pPr>
    <w:rPr>
      <w:rFonts w:ascii="Garamond" w:hAnsi="Garamond"/>
    </w:rPr>
  </w:style>
  <w:style w:type="paragraph" w:styleId="IndexHeading">
    <w:name w:val="index heading"/>
    <w:basedOn w:val="Normal"/>
    <w:next w:val="Index1"/>
    <w:semiHidden/>
    <w:rsid w:val="00A047EE"/>
    <w:pPr>
      <w:spacing w:before="120" w:after="120"/>
    </w:pPr>
    <w:rPr>
      <w:rFonts w:ascii="Arial" w:hAnsi="Arial"/>
      <w:b/>
      <w:color w:val="918585"/>
      <w:sz w:val="24"/>
    </w:rPr>
  </w:style>
  <w:style w:type="paragraph" w:styleId="Header">
    <w:name w:val="header"/>
    <w:basedOn w:val="Normal"/>
    <w:link w:val="HeaderChar"/>
    <w:rsid w:val="00A04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7EE"/>
    <w:rPr>
      <w:rFonts w:ascii="Times New Roman" w:eastAsia="Times New Roman" w:hAnsi="Times New Roman" w:cs="Times New Roman"/>
      <w:sz w:val="16"/>
      <w:szCs w:val="20"/>
      <w:lang w:val="en-GB" w:eastAsia="en-US"/>
    </w:rPr>
  </w:style>
  <w:style w:type="paragraph" w:customStyle="1" w:styleId="Chapter">
    <w:name w:val="Chapter"/>
    <w:basedOn w:val="Normal"/>
    <w:rsid w:val="00A047EE"/>
    <w:pPr>
      <w:spacing w:before="240"/>
    </w:pPr>
    <w:rPr>
      <w:rFonts w:ascii="Times New Roman" w:hAnsi="Times New Roman"/>
      <w:smallCaps/>
      <w:spacing w:val="80"/>
      <w:sz w:val="28"/>
    </w:rPr>
  </w:style>
  <w:style w:type="paragraph" w:customStyle="1" w:styleId="InChapter">
    <w:name w:val="InChapter"/>
    <w:basedOn w:val="Heading3"/>
    <w:rsid w:val="00A047EE"/>
    <w:pPr>
      <w:spacing w:after="240"/>
      <w:outlineLvl w:val="9"/>
    </w:pPr>
    <w:rPr>
      <w:noProof/>
    </w:rPr>
  </w:style>
  <w:style w:type="paragraph" w:styleId="Index2">
    <w:name w:val="index 2"/>
    <w:basedOn w:val="Normal"/>
    <w:next w:val="Normal"/>
    <w:semiHidden/>
    <w:rsid w:val="00A047EE"/>
    <w:pPr>
      <w:tabs>
        <w:tab w:val="right" w:pos="4176"/>
      </w:tabs>
      <w:ind w:left="568" w:hanging="284"/>
    </w:pPr>
    <w:rPr>
      <w:rFonts w:ascii="Garamond" w:hAnsi="Garamond"/>
    </w:rPr>
  </w:style>
  <w:style w:type="paragraph" w:customStyle="1" w:styleId="Byline">
    <w:name w:val="Byline"/>
    <w:rsid w:val="00A04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7EE"/>
    <w:pPr>
      <w:tabs>
        <w:tab w:val="clear" w:pos="3600"/>
        <w:tab w:val="clear" w:pos="3958"/>
      </w:tabs>
      <w:jc w:val="right"/>
    </w:pPr>
  </w:style>
  <w:style w:type="character" w:styleId="Emphasis">
    <w:name w:val="Emphasis"/>
    <w:basedOn w:val="DefaultParagraphFont"/>
    <w:qFormat/>
    <w:rsid w:val="00A047EE"/>
    <w:rPr>
      <w:i/>
    </w:rPr>
  </w:style>
  <w:style w:type="paragraph" w:styleId="Caption">
    <w:name w:val="caption"/>
    <w:basedOn w:val="BodyText"/>
    <w:next w:val="Normal"/>
    <w:qFormat/>
    <w:rsid w:val="00A047EE"/>
    <w:pPr>
      <w:framePr w:w="2268" w:hSpace="181" w:vSpace="181" w:wrap="around" w:vAnchor="text" w:hAnchor="page" w:x="1135" w:y="285" w:anchorLock="1"/>
    </w:pPr>
    <w:rPr>
      <w:i/>
    </w:rPr>
  </w:style>
  <w:style w:type="paragraph" w:customStyle="1" w:styleId="MiniTOCTitle">
    <w:name w:val="MiniTOCTitle"/>
    <w:basedOn w:val="Heading4"/>
    <w:rsid w:val="00A047EE"/>
    <w:pPr>
      <w:spacing w:before="240"/>
      <w:outlineLvl w:val="9"/>
    </w:pPr>
    <w:rPr>
      <w:noProof/>
      <w:sz w:val="24"/>
    </w:rPr>
  </w:style>
  <w:style w:type="paragraph" w:customStyle="1" w:styleId="MiniTOCItem">
    <w:name w:val="MiniTOCItem"/>
    <w:basedOn w:val="ListBullet"/>
    <w:rsid w:val="00A047EE"/>
    <w:pPr>
      <w:numPr>
        <w:numId w:val="0"/>
      </w:numPr>
      <w:tabs>
        <w:tab w:val="right" w:leader="dot" w:pos="6521"/>
      </w:tabs>
      <w:spacing w:before="0" w:after="0"/>
    </w:pPr>
  </w:style>
  <w:style w:type="paragraph" w:customStyle="1" w:styleId="TOFTitle">
    <w:name w:val="TOFTitle"/>
    <w:basedOn w:val="TOCTitle"/>
    <w:rsid w:val="00A047EE"/>
  </w:style>
  <w:style w:type="paragraph" w:styleId="TableofFigures">
    <w:name w:val="table of figures"/>
    <w:basedOn w:val="Normal"/>
    <w:next w:val="Normal"/>
    <w:semiHidden/>
    <w:rsid w:val="00A047EE"/>
    <w:pPr>
      <w:tabs>
        <w:tab w:val="right" w:leader="dot" w:pos="9072"/>
      </w:tabs>
      <w:ind w:left="970" w:hanging="403"/>
    </w:pPr>
    <w:rPr>
      <w:rFonts w:ascii="Times New Roman" w:hAnsi="Times New Roman"/>
      <w:b/>
    </w:rPr>
  </w:style>
  <w:style w:type="paragraph" w:styleId="ListNumber">
    <w:name w:val="List Number"/>
    <w:basedOn w:val="List"/>
    <w:rsid w:val="00A047EE"/>
    <w:pPr>
      <w:numPr>
        <w:numId w:val="15"/>
      </w:numPr>
      <w:tabs>
        <w:tab w:val="clear" w:pos="340"/>
      </w:tabs>
    </w:pPr>
  </w:style>
  <w:style w:type="character" w:customStyle="1" w:styleId="WingdingSymbols">
    <w:name w:val="Wingding Symbols"/>
    <w:rsid w:val="00A047EE"/>
    <w:rPr>
      <w:rFonts w:ascii="Wingdings" w:hAnsi="Wingdings"/>
    </w:rPr>
  </w:style>
  <w:style w:type="paragraph" w:customStyle="1" w:styleId="TableHeading">
    <w:name w:val="Table Heading"/>
    <w:basedOn w:val="HeadingBase"/>
    <w:rsid w:val="00A047EE"/>
    <w:pPr>
      <w:keepLines/>
      <w:pBdr>
        <w:bottom w:val="single" w:sz="6" w:space="1" w:color="918585"/>
      </w:pBdr>
      <w:spacing w:before="240"/>
    </w:pPr>
  </w:style>
  <w:style w:type="character" w:customStyle="1" w:styleId="HotSpot">
    <w:name w:val="HotSpot"/>
    <w:rsid w:val="00A047EE"/>
    <w:rPr>
      <w:color w:val="0033CC"/>
      <w:u w:val="none"/>
    </w:rPr>
  </w:style>
  <w:style w:type="paragraph" w:customStyle="1" w:styleId="BodyTextRight">
    <w:name w:val="Body Text Right"/>
    <w:basedOn w:val="BodyText"/>
    <w:rsid w:val="00A047EE"/>
    <w:pPr>
      <w:spacing w:before="0" w:after="0"/>
      <w:jc w:val="right"/>
    </w:pPr>
  </w:style>
  <w:style w:type="paragraph" w:styleId="Index3">
    <w:name w:val="index 3"/>
    <w:basedOn w:val="ListNumber2"/>
    <w:next w:val="Normal"/>
    <w:semiHidden/>
    <w:rsid w:val="00A047EE"/>
    <w:pPr>
      <w:numPr>
        <w:numId w:val="0"/>
      </w:numPr>
      <w:tabs>
        <w:tab w:val="right" w:leader="dot" w:pos="4176"/>
      </w:tabs>
    </w:pPr>
  </w:style>
  <w:style w:type="paragraph" w:styleId="ListNumber2">
    <w:name w:val="List Number 2"/>
    <w:basedOn w:val="List2"/>
    <w:rsid w:val="00A047EE"/>
    <w:pPr>
      <w:numPr>
        <w:numId w:val="10"/>
      </w:numPr>
      <w:tabs>
        <w:tab w:val="clear" w:pos="1060"/>
      </w:tabs>
    </w:pPr>
  </w:style>
  <w:style w:type="paragraph" w:customStyle="1" w:styleId="MarginNote">
    <w:name w:val="Margin Note"/>
    <w:basedOn w:val="BodyText"/>
    <w:rsid w:val="00A04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7EE"/>
    <w:rPr>
      <w:sz w:val="32"/>
    </w:rPr>
  </w:style>
  <w:style w:type="paragraph" w:customStyle="1" w:styleId="HeadingProcedure">
    <w:name w:val="Heading Procedure"/>
    <w:basedOn w:val="HeadingBase"/>
    <w:next w:val="Normal"/>
    <w:rsid w:val="00A047EE"/>
    <w:pPr>
      <w:tabs>
        <w:tab w:val="left" w:pos="0"/>
      </w:tabs>
      <w:spacing w:before="120" w:after="60"/>
    </w:pPr>
    <w:rPr>
      <w:i/>
      <w:color w:val="918585"/>
      <w:sz w:val="22"/>
    </w:rPr>
  </w:style>
  <w:style w:type="paragraph" w:customStyle="1" w:styleId="TableBodyText">
    <w:name w:val="Table Body Text"/>
    <w:basedOn w:val="BodyText"/>
    <w:rsid w:val="00A047EE"/>
    <w:pPr>
      <w:spacing w:before="60" w:after="60"/>
    </w:pPr>
  </w:style>
  <w:style w:type="paragraph" w:styleId="ListContinue">
    <w:name w:val="List Continue"/>
    <w:basedOn w:val="List"/>
    <w:rsid w:val="00A047EE"/>
    <w:pPr>
      <w:ind w:firstLine="0"/>
    </w:pPr>
  </w:style>
  <w:style w:type="paragraph" w:customStyle="1" w:styleId="ListNote">
    <w:name w:val="List Note"/>
    <w:basedOn w:val="List"/>
    <w:rsid w:val="00A047EE"/>
    <w:pPr>
      <w:pBdr>
        <w:top w:val="single" w:sz="6" w:space="2" w:color="918585"/>
        <w:bottom w:val="single" w:sz="6" w:space="2" w:color="918585"/>
      </w:pBdr>
      <w:tabs>
        <w:tab w:val="left" w:pos="1021"/>
      </w:tabs>
      <w:ind w:firstLine="0"/>
    </w:pPr>
  </w:style>
  <w:style w:type="paragraph" w:customStyle="1" w:styleId="Warning">
    <w:name w:val="Warning"/>
    <w:basedOn w:val="BodyText"/>
    <w:rsid w:val="00A047EE"/>
    <w:pPr>
      <w:shd w:val="clear" w:color="auto" w:fill="D9D9D9"/>
      <w:tabs>
        <w:tab w:val="left" w:pos="992"/>
      </w:tabs>
      <w:ind w:left="119" w:right="119"/>
    </w:pPr>
    <w:rPr>
      <w:sz w:val="20"/>
    </w:rPr>
  </w:style>
  <w:style w:type="paragraph" w:customStyle="1" w:styleId="MarginIcons">
    <w:name w:val="Margin Icons"/>
    <w:basedOn w:val="BodyText"/>
    <w:rsid w:val="00A04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7EE"/>
    <w:rPr>
      <w:rFonts w:ascii="Courier New" w:hAnsi="Courier New"/>
    </w:rPr>
  </w:style>
  <w:style w:type="paragraph" w:customStyle="1" w:styleId="NoteBullet">
    <w:name w:val="Note Bullet"/>
    <w:basedOn w:val="Note"/>
    <w:rsid w:val="00A047EE"/>
    <w:pPr>
      <w:tabs>
        <w:tab w:val="clear" w:pos="680"/>
      </w:tabs>
      <w:spacing w:before="60" w:after="60"/>
    </w:pPr>
  </w:style>
  <w:style w:type="paragraph" w:customStyle="1" w:styleId="SubHeading2">
    <w:name w:val="SubHeading2"/>
    <w:basedOn w:val="HeadingBase"/>
    <w:rsid w:val="00A047EE"/>
    <w:pPr>
      <w:spacing w:before="240" w:after="60"/>
    </w:pPr>
    <w:rPr>
      <w:sz w:val="20"/>
    </w:rPr>
  </w:style>
  <w:style w:type="paragraph" w:customStyle="1" w:styleId="SubHeading1">
    <w:name w:val="SubHeading1"/>
    <w:basedOn w:val="HeadingBase"/>
    <w:rsid w:val="00A047EE"/>
    <w:pPr>
      <w:spacing w:before="240" w:after="60"/>
    </w:pPr>
    <w:rPr>
      <w:color w:val="918585"/>
      <w:sz w:val="22"/>
    </w:rPr>
  </w:style>
  <w:style w:type="paragraph" w:customStyle="1" w:styleId="SideHeading">
    <w:name w:val="Side Heading"/>
    <w:basedOn w:val="HeadingBase"/>
    <w:rsid w:val="00A04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7EE"/>
    <w:pPr>
      <w:tabs>
        <w:tab w:val="num" w:pos="360"/>
      </w:tabs>
    </w:pPr>
  </w:style>
  <w:style w:type="paragraph" w:styleId="PlainText">
    <w:name w:val="Plain Text"/>
    <w:basedOn w:val="Normal"/>
    <w:link w:val="PlainTextChar"/>
    <w:rsid w:val="00A047EE"/>
    <w:rPr>
      <w:sz w:val="20"/>
    </w:rPr>
  </w:style>
  <w:style w:type="character" w:customStyle="1" w:styleId="PlainTextChar">
    <w:name w:val="Plain Text Char"/>
    <w:basedOn w:val="DefaultParagraphFont"/>
    <w:link w:val="PlainText"/>
    <w:rsid w:val="00A047EE"/>
    <w:rPr>
      <w:rFonts w:ascii="Courier New" w:eastAsia="Times New Roman" w:hAnsi="Courier New" w:cs="Times New Roman"/>
      <w:sz w:val="20"/>
      <w:szCs w:val="20"/>
      <w:lang w:eastAsia="en-US"/>
    </w:rPr>
  </w:style>
  <w:style w:type="character" w:customStyle="1" w:styleId="MenuOption">
    <w:name w:val="Menu Option"/>
    <w:basedOn w:val="DefaultParagraphFont"/>
    <w:rsid w:val="00A047EE"/>
    <w:rPr>
      <w:b/>
      <w:smallCaps/>
    </w:rPr>
  </w:style>
  <w:style w:type="paragraph" w:customStyle="1" w:styleId="TableListNumber">
    <w:name w:val="Table List Number"/>
    <w:basedOn w:val="ListNumber"/>
    <w:rsid w:val="00A047EE"/>
    <w:pPr>
      <w:numPr>
        <w:numId w:val="0"/>
      </w:numPr>
    </w:pPr>
  </w:style>
  <w:style w:type="paragraph" w:styleId="TOC4">
    <w:name w:val="toc 4"/>
    <w:basedOn w:val="TOCBase"/>
    <w:next w:val="Normal"/>
    <w:semiHidden/>
    <w:rsid w:val="00A047EE"/>
    <w:pPr>
      <w:tabs>
        <w:tab w:val="right" w:leader="dot" w:pos="9071"/>
      </w:tabs>
      <w:ind w:left="1701"/>
    </w:pPr>
  </w:style>
  <w:style w:type="paragraph" w:customStyle="1" w:styleId="ListAlpha">
    <w:name w:val="List Alpha"/>
    <w:basedOn w:val="List"/>
    <w:rsid w:val="00A047EE"/>
    <w:pPr>
      <w:numPr>
        <w:numId w:val="9"/>
      </w:numPr>
    </w:pPr>
  </w:style>
  <w:style w:type="paragraph" w:customStyle="1" w:styleId="ListAlpha2">
    <w:name w:val="List Alpha 2"/>
    <w:basedOn w:val="List2"/>
    <w:rsid w:val="00A047EE"/>
    <w:pPr>
      <w:numPr>
        <w:numId w:val="8"/>
      </w:numPr>
    </w:pPr>
  </w:style>
  <w:style w:type="paragraph" w:styleId="List2">
    <w:name w:val="List 2"/>
    <w:basedOn w:val="BodyText"/>
    <w:rsid w:val="00A047EE"/>
    <w:pPr>
      <w:tabs>
        <w:tab w:val="left" w:pos="680"/>
      </w:tabs>
      <w:spacing w:before="60" w:after="60"/>
      <w:ind w:left="680" w:hanging="340"/>
    </w:pPr>
  </w:style>
  <w:style w:type="paragraph" w:styleId="List3">
    <w:name w:val="List 3"/>
    <w:basedOn w:val="BodyText"/>
    <w:rsid w:val="00A047EE"/>
    <w:pPr>
      <w:tabs>
        <w:tab w:val="left" w:pos="1021"/>
      </w:tabs>
      <w:spacing w:before="60" w:after="60"/>
      <w:ind w:left="1020" w:hanging="340"/>
    </w:pPr>
  </w:style>
  <w:style w:type="paragraph" w:styleId="List4">
    <w:name w:val="List 4"/>
    <w:basedOn w:val="BodyText"/>
    <w:rsid w:val="00A047EE"/>
    <w:pPr>
      <w:tabs>
        <w:tab w:val="left" w:pos="1361"/>
      </w:tabs>
      <w:spacing w:before="60" w:after="60"/>
      <w:ind w:left="1361" w:hanging="340"/>
    </w:pPr>
  </w:style>
  <w:style w:type="paragraph" w:styleId="List5">
    <w:name w:val="List 5"/>
    <w:basedOn w:val="BodyText"/>
    <w:rsid w:val="00A047EE"/>
    <w:pPr>
      <w:tabs>
        <w:tab w:val="left" w:pos="1701"/>
      </w:tabs>
      <w:spacing w:before="60" w:after="60"/>
      <w:ind w:left="1701" w:hanging="340"/>
    </w:pPr>
  </w:style>
  <w:style w:type="paragraph" w:styleId="ListBullet3">
    <w:name w:val="List Bullet 3"/>
    <w:basedOn w:val="List3"/>
    <w:rsid w:val="00A047EE"/>
    <w:pPr>
      <w:numPr>
        <w:numId w:val="14"/>
      </w:numPr>
      <w:tabs>
        <w:tab w:val="clear" w:pos="1021"/>
      </w:tabs>
      <w:ind w:left="1037" w:hanging="357"/>
    </w:pPr>
  </w:style>
  <w:style w:type="paragraph" w:styleId="ListBullet4">
    <w:name w:val="List Bullet 4"/>
    <w:basedOn w:val="List4"/>
    <w:rsid w:val="00A047EE"/>
    <w:pPr>
      <w:numPr>
        <w:numId w:val="3"/>
      </w:numPr>
      <w:tabs>
        <w:tab w:val="clear" w:pos="1361"/>
      </w:tabs>
    </w:pPr>
  </w:style>
  <w:style w:type="paragraph" w:styleId="ListBullet5">
    <w:name w:val="List Bullet 5"/>
    <w:basedOn w:val="List5"/>
    <w:rsid w:val="00A047EE"/>
    <w:pPr>
      <w:numPr>
        <w:numId w:val="4"/>
      </w:numPr>
    </w:pPr>
  </w:style>
  <w:style w:type="paragraph" w:styleId="ListContinue2">
    <w:name w:val="List Continue 2"/>
    <w:basedOn w:val="List2"/>
    <w:rsid w:val="00A047EE"/>
    <w:pPr>
      <w:ind w:firstLine="0"/>
    </w:pPr>
  </w:style>
  <w:style w:type="paragraph" w:styleId="ListContinue3">
    <w:name w:val="List Continue 3"/>
    <w:basedOn w:val="List3"/>
    <w:rsid w:val="00A047EE"/>
    <w:pPr>
      <w:ind w:left="1021" w:firstLine="0"/>
    </w:pPr>
  </w:style>
  <w:style w:type="paragraph" w:styleId="ListContinue4">
    <w:name w:val="List Continue 4"/>
    <w:basedOn w:val="List4"/>
    <w:rsid w:val="00A047EE"/>
    <w:pPr>
      <w:ind w:firstLine="0"/>
    </w:pPr>
  </w:style>
  <w:style w:type="paragraph" w:styleId="ListContinue5">
    <w:name w:val="List Continue 5"/>
    <w:basedOn w:val="List5"/>
    <w:rsid w:val="00A047EE"/>
    <w:pPr>
      <w:ind w:firstLine="0"/>
    </w:pPr>
  </w:style>
  <w:style w:type="paragraph" w:styleId="ListNumber3">
    <w:name w:val="List Number 3"/>
    <w:basedOn w:val="List3"/>
    <w:rsid w:val="00A047EE"/>
    <w:pPr>
      <w:numPr>
        <w:numId w:val="5"/>
      </w:numPr>
    </w:pPr>
  </w:style>
  <w:style w:type="paragraph" w:styleId="ListNumber4">
    <w:name w:val="List Number 4"/>
    <w:basedOn w:val="List4"/>
    <w:rsid w:val="00A047EE"/>
    <w:pPr>
      <w:numPr>
        <w:numId w:val="6"/>
      </w:numPr>
    </w:pPr>
  </w:style>
  <w:style w:type="paragraph" w:styleId="ListNumber5">
    <w:name w:val="List Number 5"/>
    <w:basedOn w:val="List5"/>
    <w:rsid w:val="00A047EE"/>
    <w:pPr>
      <w:numPr>
        <w:numId w:val="7"/>
      </w:numPr>
    </w:pPr>
  </w:style>
  <w:style w:type="paragraph" w:styleId="BlockText">
    <w:name w:val="Block Text"/>
    <w:basedOn w:val="Normal"/>
    <w:rsid w:val="00A047EE"/>
    <w:pPr>
      <w:spacing w:after="120"/>
      <w:ind w:left="1440" w:right="1440"/>
    </w:pPr>
  </w:style>
  <w:style w:type="character" w:customStyle="1" w:styleId="Subscript">
    <w:name w:val="Subscript"/>
    <w:basedOn w:val="DefaultParagraphFont"/>
    <w:rsid w:val="00A047EE"/>
    <w:rPr>
      <w:sz w:val="16"/>
      <w:vertAlign w:val="subscript"/>
    </w:rPr>
  </w:style>
  <w:style w:type="character" w:customStyle="1" w:styleId="Superscript">
    <w:name w:val="Superscript"/>
    <w:basedOn w:val="DefaultParagraphFont"/>
    <w:rsid w:val="00A047EE"/>
    <w:rPr>
      <w:sz w:val="16"/>
      <w:vertAlign w:val="superscript"/>
    </w:rPr>
  </w:style>
  <w:style w:type="character" w:customStyle="1" w:styleId="Symbols">
    <w:name w:val="Symbols"/>
    <w:basedOn w:val="DefaultParagraphFont"/>
    <w:rsid w:val="00A047EE"/>
    <w:rPr>
      <w:rFonts w:ascii="Symbol" w:hAnsi="Symbol"/>
    </w:rPr>
  </w:style>
  <w:style w:type="character" w:customStyle="1" w:styleId="MenuOptions">
    <w:name w:val="Menu Options"/>
    <w:basedOn w:val="DefaultParagraphFont"/>
    <w:rsid w:val="00A047EE"/>
    <w:rPr>
      <w:rFonts w:ascii="Arial Narrow" w:hAnsi="Arial Narrow"/>
      <w:smallCaps/>
    </w:rPr>
  </w:style>
  <w:style w:type="character" w:customStyle="1" w:styleId="Buttons">
    <w:name w:val="Buttons"/>
    <w:basedOn w:val="DefaultParagraphFont"/>
    <w:rsid w:val="00A047EE"/>
    <w:rPr>
      <w:b/>
    </w:rPr>
  </w:style>
  <w:style w:type="character" w:customStyle="1" w:styleId="Underlined">
    <w:name w:val="Underlined"/>
    <w:basedOn w:val="DefaultParagraphFont"/>
    <w:rsid w:val="00A047EE"/>
    <w:rPr>
      <w:u w:val="single"/>
    </w:rPr>
  </w:style>
  <w:style w:type="paragraph" w:customStyle="1" w:styleId="TableBodyTextRight">
    <w:name w:val="Table Body Text Right"/>
    <w:basedOn w:val="TableBodyText"/>
    <w:rsid w:val="00A047EE"/>
    <w:pPr>
      <w:widowControl w:val="0"/>
      <w:autoSpaceDE w:val="0"/>
      <w:autoSpaceDN w:val="0"/>
      <w:adjustRightInd w:val="0"/>
      <w:jc w:val="right"/>
    </w:pPr>
    <w:rPr>
      <w:rFonts w:cs="Arial"/>
      <w:szCs w:val="18"/>
    </w:rPr>
  </w:style>
  <w:style w:type="paragraph" w:customStyle="1" w:styleId="CopyrightText">
    <w:name w:val="Copyright Text"/>
    <w:basedOn w:val="BodyText"/>
    <w:rsid w:val="00A047EE"/>
    <w:rPr>
      <w:sz w:val="18"/>
    </w:rPr>
  </w:style>
  <w:style w:type="paragraph" w:customStyle="1" w:styleId="BodySmallRight">
    <w:name w:val="Body Small Right"/>
    <w:basedOn w:val="BodyTextRight"/>
    <w:rsid w:val="00A047EE"/>
    <w:rPr>
      <w:sz w:val="18"/>
      <w:szCs w:val="18"/>
    </w:rPr>
  </w:style>
  <w:style w:type="paragraph" w:customStyle="1" w:styleId="MarginEdition">
    <w:name w:val="Margin Edition"/>
    <w:basedOn w:val="MarginNote"/>
    <w:rsid w:val="00A047EE"/>
    <w:pPr>
      <w:spacing w:before="0" w:after="0"/>
    </w:pPr>
    <w:rPr>
      <w:rFonts w:ascii="Times New Roman" w:hAnsi="Times New Roman"/>
      <w:color w:val="999999"/>
    </w:rPr>
  </w:style>
  <w:style w:type="paragraph" w:customStyle="1" w:styleId="Spacer">
    <w:name w:val="Spacer"/>
    <w:basedOn w:val="Normal"/>
    <w:rsid w:val="00A047EE"/>
    <w:rPr>
      <w:sz w:val="2"/>
      <w:szCs w:val="2"/>
    </w:rPr>
  </w:style>
  <w:style w:type="character" w:customStyle="1" w:styleId="Small">
    <w:name w:val="Small"/>
    <w:basedOn w:val="DefaultParagraphFont"/>
    <w:rsid w:val="00A047EE"/>
    <w:rPr>
      <w:sz w:val="16"/>
    </w:rPr>
  </w:style>
  <w:style w:type="paragraph" w:customStyle="1" w:styleId="WideTable">
    <w:name w:val="Wide Table"/>
    <w:basedOn w:val="Normal"/>
    <w:rsid w:val="00A047EE"/>
    <w:pPr>
      <w:ind w:left="-1418"/>
    </w:pPr>
    <w:rPr>
      <w:sz w:val="2"/>
      <w:szCs w:val="2"/>
    </w:rPr>
  </w:style>
  <w:style w:type="character" w:styleId="PageNumber">
    <w:name w:val="page number"/>
    <w:basedOn w:val="DefaultParagraphFont"/>
    <w:rsid w:val="00A047EE"/>
  </w:style>
  <w:style w:type="paragraph" w:styleId="Quote">
    <w:name w:val="Quote"/>
    <w:basedOn w:val="Heading1"/>
    <w:link w:val="QuoteChar"/>
    <w:qFormat/>
    <w:rsid w:val="00A047EE"/>
    <w:rPr>
      <w:b w:val="0"/>
      <w:sz w:val="72"/>
      <w:szCs w:val="72"/>
      <w:lang w:val="en-NZ"/>
    </w:rPr>
  </w:style>
  <w:style w:type="character" w:customStyle="1" w:styleId="QuoteChar">
    <w:name w:val="Quote Char"/>
    <w:basedOn w:val="DefaultParagraphFont"/>
    <w:link w:val="Quote"/>
    <w:rsid w:val="00A04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7EE"/>
    <w:pPr>
      <w:pageBreakBefore/>
    </w:pPr>
  </w:style>
  <w:style w:type="paragraph" w:customStyle="1" w:styleId="Border">
    <w:name w:val="Border"/>
    <w:basedOn w:val="Normal"/>
    <w:qFormat/>
    <w:rsid w:val="00A04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7EE"/>
    <w:rPr>
      <w:b/>
      <w:bCs/>
      <w:i/>
      <w:iCs/>
      <w:color w:val="auto"/>
    </w:rPr>
  </w:style>
  <w:style w:type="paragraph" w:styleId="IntenseQuote">
    <w:name w:val="Intense Quote"/>
    <w:basedOn w:val="Normal"/>
    <w:next w:val="Normal"/>
    <w:link w:val="IntenseQuoteChar"/>
    <w:uiPriority w:val="30"/>
    <w:qFormat/>
    <w:rsid w:val="00A04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7EE"/>
    <w:rPr>
      <w:smallCaps/>
      <w:color w:val="auto"/>
      <w:u w:val="single"/>
    </w:rPr>
  </w:style>
  <w:style w:type="character" w:styleId="IntenseReference">
    <w:name w:val="Intense Reference"/>
    <w:basedOn w:val="DefaultParagraphFont"/>
    <w:uiPriority w:val="32"/>
    <w:qFormat/>
    <w:rsid w:val="00A047EE"/>
    <w:rPr>
      <w:b/>
      <w:bCs/>
      <w:smallCaps/>
      <w:color w:val="auto"/>
      <w:spacing w:val="5"/>
      <w:u w:val="single"/>
    </w:rPr>
  </w:style>
  <w:style w:type="paragraph" w:customStyle="1" w:styleId="2ColumnHeading">
    <w:name w:val="2Column Heading"/>
    <w:basedOn w:val="BodyText"/>
    <w:qFormat/>
    <w:rsid w:val="00A047EE"/>
    <w:pPr>
      <w:spacing w:after="60"/>
      <w:ind w:left="-2268"/>
    </w:pPr>
    <w:rPr>
      <w:b/>
    </w:rPr>
  </w:style>
  <w:style w:type="paragraph" w:customStyle="1" w:styleId="Heading1TOC">
    <w:name w:val="Heading1 TOC"/>
    <w:basedOn w:val="Normal"/>
    <w:qFormat/>
    <w:rsid w:val="00A047EE"/>
    <w:pPr>
      <w:spacing w:before="240" w:after="120"/>
    </w:pPr>
    <w:rPr>
      <w:rFonts w:ascii="Times New Roman" w:hAnsi="Times New Roman"/>
      <w:b/>
      <w:sz w:val="32"/>
    </w:rPr>
  </w:style>
  <w:style w:type="paragraph" w:customStyle="1" w:styleId="Heading2TOC">
    <w:name w:val="Heading2 TOC"/>
    <w:basedOn w:val="Normal"/>
    <w:qFormat/>
    <w:rsid w:val="00A047EE"/>
    <w:pPr>
      <w:spacing w:before="240" w:after="60"/>
    </w:pPr>
    <w:rPr>
      <w:rFonts w:ascii="Times New Roman" w:hAnsi="Times New Roman"/>
      <w:b/>
      <w:sz w:val="28"/>
    </w:rPr>
  </w:style>
  <w:style w:type="character" w:customStyle="1" w:styleId="Underline">
    <w:name w:val="Underline"/>
    <w:basedOn w:val="DefaultParagraphFont"/>
    <w:qFormat/>
    <w:rsid w:val="00A047EE"/>
    <w:rPr>
      <w:u w:val="single"/>
    </w:rPr>
  </w:style>
  <w:style w:type="character" w:customStyle="1" w:styleId="BoldandItalics">
    <w:name w:val="Bold and Italics"/>
    <w:qFormat/>
    <w:rsid w:val="00A047EE"/>
    <w:rPr>
      <w:b/>
      <w:i/>
      <w:u w:val="none"/>
    </w:rPr>
  </w:style>
  <w:style w:type="paragraph" w:styleId="BalloonText">
    <w:name w:val="Balloon Text"/>
    <w:basedOn w:val="Normal"/>
    <w:link w:val="BalloonTextChar"/>
    <w:rsid w:val="00A047EE"/>
    <w:rPr>
      <w:rFonts w:ascii="Tahoma" w:hAnsi="Tahoma" w:cs="Tahoma"/>
      <w:sz w:val="16"/>
      <w:szCs w:val="16"/>
    </w:rPr>
  </w:style>
  <w:style w:type="character" w:customStyle="1" w:styleId="BalloonTextChar">
    <w:name w:val="Balloon Text Char"/>
    <w:basedOn w:val="DefaultParagraphFont"/>
    <w:link w:val="BalloonText"/>
    <w:rsid w:val="00A04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7EE"/>
    <w:rPr>
      <w:b/>
      <w:color w:val="660033"/>
      <w:spacing w:val="0"/>
    </w:rPr>
  </w:style>
  <w:style w:type="paragraph" w:customStyle="1" w:styleId="Nameditemlist">
    <w:name w:val="Named item list"/>
    <w:basedOn w:val="BodyText"/>
    <w:qFormat/>
    <w:rsid w:val="00A047EE"/>
    <w:pPr>
      <w:tabs>
        <w:tab w:val="left" w:pos="2835"/>
      </w:tabs>
      <w:ind w:left="2835" w:hanging="2835"/>
    </w:pPr>
  </w:style>
  <w:style w:type="paragraph" w:customStyle="1" w:styleId="BodyTextnopadding">
    <w:name w:val="Body Text no padding"/>
    <w:basedOn w:val="BodyText"/>
    <w:qFormat/>
    <w:rsid w:val="00A047EE"/>
    <w:pPr>
      <w:spacing w:before="0" w:after="0"/>
    </w:pPr>
  </w:style>
  <w:style w:type="paragraph" w:customStyle="1" w:styleId="BodyTextBold">
    <w:name w:val="Body Text Bold"/>
    <w:basedOn w:val="BodyText"/>
    <w:qFormat/>
    <w:rsid w:val="00A047EE"/>
    <w:rPr>
      <w:b/>
    </w:rPr>
  </w:style>
  <w:style w:type="character" w:styleId="Hyperlink">
    <w:name w:val="Hyperlink"/>
    <w:basedOn w:val="DefaultParagraphFont"/>
    <w:uiPriority w:val="99"/>
    <w:unhideWhenUsed/>
    <w:rsid w:val="00974B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3225</Characters>
  <Application>Microsoft Office Word</Application>
  <DocSecurity>0</DocSecurity>
  <Lines>82</Lines>
  <Paragraphs>57</Paragraphs>
  <ScaleCrop>false</ScaleCrop>
  <Company>Author-it Software Corporation Ltd.</Company>
  <LinksUpToDate>false</LinksUpToDate>
  <CharactersWithSpaces>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FNSPAY502 Process superannuation payments in payroll</dc:title>
  <dc:subject>Approved</dc:subject>
  <dc:creator>PwC’s Skills for Australia</dc:creator>
  <cp:keywords>Release: 1</cp:keywords>
  <dc:description>Review Date: 12 April 2008</dc:description>
  <cp:lastModifiedBy>HSD_TPCMSd.prod</cp:lastModifiedBy>
  <cp:revision>3</cp:revision>
  <dcterms:created xsi:type="dcterms:W3CDTF">2022-01-27T02:31:00Z</dcterms:created>
  <dcterms:modified xsi:type="dcterms:W3CDTF">2022-01-27T02:31:00Z</dcterms:modified>
</cp:coreProperties>
</file>