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A90" w:rsidP="002F1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FNSMCA402 Initiate legal recovery of debts</w:t>
      </w:r>
      <w:r>
        <w:fldChar w:fldCharType="end"/>
      </w:r>
    </w:p>
    <w:p w:rsidR="002F1A90" w:rsidP="002F1A90">
      <w:pPr>
        <w:pStyle w:val="Version"/>
        <w:sectPr w:rsidSect="00075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443" w:rsidP="00075443">
      <w:pPr>
        <w:pStyle w:val="SuperHeading"/>
      </w:pPr>
      <w:r w:rsidRPr="00075443">
        <w:t>Assessment Requirements for FNSMCA402 Initiate legal recovery of debts</w:t>
      </w:r>
    </w:p>
    <w:p w:rsidR="00000000" w:rsidRPr="00075443" w:rsidP="00075443">
      <w:pPr>
        <w:pStyle w:val="Heading1"/>
      </w:pPr>
      <w:bookmarkStart w:id="1" w:name="O_694198"/>
      <w:bookmarkEnd w:id="1"/>
      <w:r w:rsidRPr="000754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443" w:rsidP="00075443">
            <w:pPr>
              <w:pStyle w:val="BodyText"/>
            </w:pPr>
            <w:r w:rsidRPr="000754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443">
            <w:pPr>
              <w:pStyle w:val="BodyText"/>
              <w:rPr>
                <w:lang w:val="en-NZ"/>
              </w:rPr>
            </w:pPr>
            <w:r w:rsidRPr="00075443">
              <w:rPr>
                <w:rStyle w:val="SpecialBold"/>
              </w:rPr>
              <w:t>Comments</w:t>
            </w:r>
          </w:p>
        </w:tc>
      </w:tr>
      <w:tr w:rsidTr="0007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443">
            <w:pPr>
              <w:pStyle w:val="BodyText"/>
              <w:rPr>
                <w:lang w:val="en-NZ"/>
              </w:rPr>
            </w:pPr>
            <w:r w:rsidRPr="000754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443" w:rsidP="00075443">
            <w:pPr>
              <w:pStyle w:val="BodyText"/>
            </w:pPr>
            <w:r w:rsidRPr="00075443">
              <w:t>This version first released with FNS Financial Services Training Package Version 1.0.</w:t>
            </w:r>
          </w:p>
        </w:tc>
      </w:tr>
    </w:tbl>
    <w:p w:rsidR="00000000" w:rsidRPr="00075443" w:rsidP="00075443">
      <w:pPr>
        <w:pStyle w:val="BodyText"/>
      </w:pPr>
    </w:p>
    <w:p w:rsidR="00000000" w:rsidRPr="00075443" w:rsidP="00075443">
      <w:pPr>
        <w:pStyle w:val="AllowPageBreak"/>
      </w:pPr>
    </w:p>
    <w:p w:rsidR="00000000" w:rsidRPr="00075443" w:rsidP="00075443">
      <w:pPr>
        <w:pStyle w:val="Heading1"/>
      </w:pPr>
      <w:bookmarkStart w:id="2" w:name="O_694199"/>
      <w:bookmarkEnd w:id="2"/>
      <w:r w:rsidRPr="00075443">
        <w:t>Performance Evidence</w:t>
      </w:r>
    </w:p>
    <w:p w:rsidR="00000000" w:rsidRPr="00075443" w:rsidP="002F1A90">
      <w:pPr>
        <w:pStyle w:val="BodyText"/>
      </w:pPr>
      <w:r w:rsidRPr="00075443">
        <w:t>Evidence of the ability to:</w:t>
      </w:r>
    </w:p>
    <w:p w:rsidR="00000000" w:rsidRPr="00075443" w:rsidP="00075443">
      <w:pPr>
        <w:pStyle w:val="ListBullet"/>
      </w:pPr>
      <w:r w:rsidRPr="00075443">
        <w:t>interpret and comply with legislative requirements, industry code of conduct and regulations, and organisational policy and procedures in the credit management and mercantile agents field</w:t>
      </w:r>
    </w:p>
    <w:p w:rsidR="00000000" w:rsidRPr="00075443" w:rsidP="00075443">
      <w:pPr>
        <w:pStyle w:val="ListBullet"/>
      </w:pPr>
      <w:r w:rsidRPr="00075443">
        <w:t>identify appropria</w:t>
      </w:r>
      <w:r w:rsidRPr="00075443">
        <w:t>te mercantile data for relevant information for locating subjects and credit history</w:t>
      </w:r>
    </w:p>
    <w:p w:rsidR="00000000" w:rsidRPr="00075443" w:rsidP="00075443">
      <w:pPr>
        <w:pStyle w:val="ListBullet"/>
      </w:pPr>
      <w:r w:rsidRPr="00075443">
        <w:t>develop a contact plan</w:t>
      </w:r>
    </w:p>
    <w:p w:rsidR="00000000" w:rsidRPr="00075443" w:rsidP="00075443">
      <w:pPr>
        <w:pStyle w:val="ListBullet"/>
      </w:pPr>
      <w:r w:rsidRPr="00075443">
        <w:t>negotiate effectively with debtors to come to a satisfactory agreement to repay, wherever possible</w:t>
      </w:r>
    </w:p>
    <w:p w:rsidR="00000000" w:rsidRPr="00075443" w:rsidP="00075443">
      <w:pPr>
        <w:pStyle w:val="ListBullet"/>
      </w:pPr>
      <w:r w:rsidRPr="00075443">
        <w:t>complete relevant documentation in accordance with legal, industry and organisational requirements and guidelines</w:t>
      </w:r>
    </w:p>
    <w:p w:rsidR="00000000" w:rsidRPr="00075443" w:rsidP="00075443">
      <w:pPr>
        <w:pStyle w:val="ListBullet"/>
      </w:pPr>
      <w:r w:rsidRPr="00075443">
        <w:t>present and explain documentation to clients, verifying recommendations to gain their agreement.</w:t>
      </w:r>
    </w:p>
    <w:p w:rsidR="00000000" w:rsidRPr="00075443" w:rsidP="00075443">
      <w:pPr>
        <w:pStyle w:val="BodyText"/>
      </w:pPr>
    </w:p>
    <w:p w:rsidR="00000000" w:rsidRPr="00075443" w:rsidP="002F1A90">
      <w:pPr>
        <w:pStyle w:val="BodyText"/>
      </w:pPr>
      <w:r w:rsidRPr="00075443">
        <w:t>Note: If a specific volume or frequency is n</w:t>
      </w:r>
      <w:r w:rsidRPr="00075443">
        <w:t>ot stated, then evidence must be provided at least once.</w:t>
      </w:r>
    </w:p>
    <w:p w:rsidR="00000000" w:rsidRPr="00075443" w:rsidP="00075443">
      <w:pPr>
        <w:pStyle w:val="Heading1"/>
      </w:pPr>
      <w:bookmarkStart w:id="3" w:name="O_694200"/>
      <w:bookmarkEnd w:id="3"/>
      <w:r w:rsidRPr="00075443">
        <w:t>Knowledge Evidence</w:t>
      </w:r>
    </w:p>
    <w:p w:rsidR="00000000" w:rsidRPr="00075443" w:rsidP="002F1A90">
      <w:pPr>
        <w:pStyle w:val="BodyText"/>
      </w:pPr>
      <w:r w:rsidRPr="00075443">
        <w:t>To complete the unit requirements safely and effectively, the individual must:</w:t>
      </w:r>
    </w:p>
    <w:p w:rsidR="00000000" w:rsidRPr="00075443" w:rsidP="00075443">
      <w:pPr>
        <w:pStyle w:val="ListBullet"/>
      </w:pPr>
      <w:r w:rsidRPr="00075443">
        <w:t>describe key features of relevant:</w:t>
      </w:r>
    </w:p>
    <w:p w:rsidR="00000000" w:rsidRPr="00075443" w:rsidP="00075443">
      <w:pPr>
        <w:pStyle w:val="ListBullet2"/>
      </w:pPr>
      <w:r w:rsidRPr="00075443">
        <w:t>state or territory and Commonwealth legislation</w:t>
      </w:r>
      <w:r w:rsidRPr="00075443">
        <w:t xml:space="preserve"> relating to debt collection</w:t>
      </w:r>
    </w:p>
    <w:p w:rsidR="00000000" w:rsidRPr="00075443" w:rsidP="00075443">
      <w:pPr>
        <w:pStyle w:val="ListBullet2"/>
      </w:pPr>
      <w:r w:rsidRPr="00075443">
        <w:t>regulatory authorities</w:t>
      </w:r>
    </w:p>
    <w:p w:rsidR="00000000" w:rsidRPr="00075443" w:rsidP="00075443">
      <w:pPr>
        <w:pStyle w:val="ListBullet2"/>
      </w:pPr>
      <w:r w:rsidRPr="00075443">
        <w:t>court jurisdictions</w:t>
      </w:r>
    </w:p>
    <w:p w:rsidR="00000000" w:rsidRPr="00075443" w:rsidP="00075443">
      <w:pPr>
        <w:pStyle w:val="ListBullet2"/>
      </w:pPr>
      <w:r w:rsidRPr="00075443">
        <w:t>appeal procedures</w:t>
      </w:r>
    </w:p>
    <w:p w:rsidR="00000000" w:rsidRPr="00075443" w:rsidP="00075443">
      <w:pPr>
        <w:pStyle w:val="ListBullet"/>
      </w:pPr>
      <w:r w:rsidRPr="00075443">
        <w:t>outline the organisational policy and procedures and legal obligations underpinning credit management functions and their relationship to mercantile agents</w:t>
      </w:r>
    </w:p>
    <w:p w:rsidR="00000000" w:rsidRPr="00075443" w:rsidP="00075443">
      <w:pPr>
        <w:pStyle w:val="ListBullet"/>
      </w:pPr>
      <w:r w:rsidRPr="00075443">
        <w:t>outline t</w:t>
      </w:r>
      <w:r w:rsidRPr="00075443">
        <w:t>he business principles, financial arrangements and legal obligations of:</w:t>
      </w:r>
    </w:p>
    <w:p w:rsidR="00000000" w:rsidRPr="00075443" w:rsidP="00075443">
      <w:pPr>
        <w:pStyle w:val="ListBullet2"/>
      </w:pPr>
      <w:r w:rsidRPr="00075443">
        <w:t>sole traders</w:t>
      </w:r>
    </w:p>
    <w:p w:rsidR="00000000" w:rsidRPr="00075443" w:rsidP="00075443">
      <w:pPr>
        <w:pStyle w:val="ListBullet2"/>
      </w:pPr>
      <w:r w:rsidRPr="00075443">
        <w:t>partnerships</w:t>
      </w:r>
    </w:p>
    <w:p w:rsidR="00000000" w:rsidRPr="00075443" w:rsidP="00075443">
      <w:pPr>
        <w:pStyle w:val="ListBullet2"/>
      </w:pPr>
      <w:r w:rsidRPr="00075443">
        <w:t>companies</w:t>
      </w:r>
    </w:p>
    <w:p w:rsidR="00000000" w:rsidRPr="00075443" w:rsidP="00075443">
      <w:pPr>
        <w:pStyle w:val="ListBullet"/>
      </w:pPr>
      <w:r w:rsidRPr="00075443">
        <w:t>describe the role of the Australian Securities and Investments Commission (ASIC) in relation to:</w:t>
      </w:r>
    </w:p>
    <w:p w:rsidR="00000000" w:rsidRPr="00075443" w:rsidP="00075443">
      <w:pPr>
        <w:pStyle w:val="ListBullet2"/>
      </w:pPr>
      <w:r w:rsidRPr="00075443">
        <w:t>businesses</w:t>
      </w:r>
    </w:p>
    <w:p w:rsidR="00000000" w:rsidRPr="00075443" w:rsidP="00075443">
      <w:pPr>
        <w:pStyle w:val="ListBullet2"/>
      </w:pPr>
      <w:r w:rsidRPr="00075443">
        <w:t>principles of limited liability</w:t>
      </w:r>
    </w:p>
    <w:p w:rsidR="00000000" w:rsidRPr="00075443" w:rsidP="00075443">
      <w:pPr>
        <w:pStyle w:val="ListBullet2"/>
      </w:pPr>
      <w:r w:rsidRPr="00075443">
        <w:t>insolvency and bankruptcy</w:t>
      </w:r>
    </w:p>
    <w:p w:rsidR="00000000" w:rsidRPr="00075443" w:rsidP="00075443">
      <w:pPr>
        <w:pStyle w:val="ListBullet2"/>
      </w:pPr>
      <w:r w:rsidRPr="00075443">
        <w:t>principles of association under the Associations Reform Incorporation Act</w:t>
      </w:r>
    </w:p>
    <w:p w:rsidR="00000000" w:rsidRPr="00075443" w:rsidP="00075443">
      <w:pPr>
        <w:pStyle w:val="ListBullet2"/>
      </w:pPr>
      <w:r w:rsidRPr="00075443">
        <w:t>principles and obligations of trusts</w:t>
      </w:r>
    </w:p>
    <w:p w:rsidR="00000000" w:rsidRPr="00075443" w:rsidP="00075443">
      <w:pPr>
        <w:pStyle w:val="ListBullet2"/>
      </w:pPr>
      <w:r w:rsidRPr="00075443">
        <w:t>costing of contracts</w:t>
      </w:r>
    </w:p>
    <w:p w:rsidR="00000000" w:rsidRPr="00075443" w:rsidP="00075443">
      <w:pPr>
        <w:pStyle w:val="ListBullet"/>
      </w:pPr>
      <w:r w:rsidRPr="00075443">
        <w:t>outline and explain securities loans and principles:</w:t>
      </w:r>
    </w:p>
    <w:p w:rsidR="00000000" w:rsidRPr="00075443" w:rsidP="00075443">
      <w:pPr>
        <w:pStyle w:val="ListBullet2"/>
      </w:pPr>
      <w:r w:rsidRPr="00075443">
        <w:t>factoring</w:t>
      </w:r>
    </w:p>
    <w:p w:rsidR="00000000" w:rsidRPr="00075443" w:rsidP="00075443">
      <w:pPr>
        <w:pStyle w:val="ListBullet2"/>
      </w:pPr>
      <w:r w:rsidRPr="00075443">
        <w:t>guarantees</w:t>
      </w:r>
    </w:p>
    <w:p w:rsidR="00000000" w:rsidRPr="00075443" w:rsidP="00075443">
      <w:pPr>
        <w:pStyle w:val="ListBullet2"/>
      </w:pPr>
      <w:r w:rsidRPr="00075443">
        <w:t>indemnity</w:t>
      </w:r>
    </w:p>
    <w:p w:rsidR="00000000" w:rsidRPr="00075443" w:rsidP="00075443">
      <w:pPr>
        <w:pStyle w:val="ListBullet2"/>
      </w:pPr>
      <w:r w:rsidRPr="00075443">
        <w:t>securities o</w:t>
      </w:r>
      <w:r w:rsidRPr="00075443">
        <w:t>ver property</w:t>
      </w:r>
    </w:p>
    <w:p w:rsidR="00000000" w:rsidRPr="00075443" w:rsidP="00075443">
      <w:pPr>
        <w:pStyle w:val="ListBullet2"/>
      </w:pPr>
      <w:r w:rsidRPr="00075443">
        <w:t>retention of title</w:t>
      </w:r>
    </w:p>
    <w:p w:rsidR="00000000" w:rsidRPr="00075443" w:rsidP="00075443">
      <w:pPr>
        <w:pStyle w:val="ListBullet2"/>
      </w:pPr>
      <w:r w:rsidRPr="00075443">
        <w:t>liens.</w:t>
      </w:r>
    </w:p>
    <w:p w:rsidR="00000000" w:rsidRPr="00075443" w:rsidP="00075443">
      <w:pPr>
        <w:pStyle w:val="AllowPageBreak"/>
      </w:pPr>
    </w:p>
    <w:p w:rsidR="00000000" w:rsidRPr="00075443" w:rsidP="00075443">
      <w:pPr>
        <w:pStyle w:val="Heading1"/>
      </w:pPr>
      <w:bookmarkStart w:id="4" w:name="O_694201"/>
      <w:bookmarkEnd w:id="4"/>
      <w:r w:rsidRPr="00075443">
        <w:t>Assessment Conditions</w:t>
      </w:r>
    </w:p>
    <w:p w:rsidR="00000000" w:rsidRPr="00075443" w:rsidP="002F1A90">
      <w:pPr>
        <w:pStyle w:val="BodyText"/>
      </w:pPr>
      <w:r w:rsidRPr="00075443">
        <w:t xml:space="preserve">Assessment must be conducted in a safe environment where evidence gathered demonstrates consistent performance of typical activities experienced in the </w:t>
      </w:r>
      <w:r w:rsidRPr="00075443">
        <w:t>mercantile agents field of work and include access to:</w:t>
      </w:r>
    </w:p>
    <w:p w:rsidR="00000000" w:rsidRPr="00075443" w:rsidP="00075443">
      <w:pPr>
        <w:pStyle w:val="ListBullet"/>
      </w:pPr>
      <w:r w:rsidRPr="00075443">
        <w:t>office equipment, technology, software and consumables</w:t>
      </w:r>
    </w:p>
    <w:p w:rsidR="00000000" w:rsidRPr="00075443" w:rsidP="00075443">
      <w:pPr>
        <w:pStyle w:val="ListBullet"/>
      </w:pPr>
      <w:r w:rsidRPr="00075443">
        <w:t>relevant legislation and industry codes of practice in the mercantile agent field.</w:t>
      </w:r>
    </w:p>
    <w:p w:rsidR="00000000" w:rsidRPr="00075443" w:rsidP="00075443">
      <w:pPr>
        <w:pStyle w:val="BodyText"/>
      </w:pPr>
    </w:p>
    <w:p w:rsidR="00000000" w:rsidRPr="00075443" w:rsidP="002F1A90">
      <w:pPr>
        <w:pStyle w:val="BodyText"/>
      </w:pPr>
      <w:r w:rsidRPr="00075443">
        <w:t>Assessors must satisfy NVR/AQTF assessor requirements.</w:t>
      </w:r>
    </w:p>
    <w:p w:rsidR="00000000" w:rsidRPr="00075443" w:rsidP="00075443">
      <w:pPr>
        <w:pStyle w:val="Heading1"/>
      </w:pPr>
      <w:bookmarkStart w:id="5" w:name="O_694204"/>
      <w:bookmarkEnd w:id="5"/>
      <w:r w:rsidRPr="00075443">
        <w:t>Links</w:t>
      </w:r>
    </w:p>
    <w:p w:rsidR="00000000" w:rsidRPr="00075443" w:rsidP="002F1A90">
      <w:pPr>
        <w:pStyle w:val="BodyText"/>
      </w:pPr>
      <w:r w:rsidRPr="000754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00C3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5443" w:rsidP="00075443"/>
    <w:sectPr w:rsidSect="000754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43" w:rsidRPr="002F1A90" w:rsidP="002F1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90" w:rsidP="00075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1A90" w:rsidP="00075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1A90" w:rsidP="000754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443" w:rsidRPr="002F1A90" w:rsidP="002F1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90" w:rsidRPr="002D2AF8" w:rsidP="00075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FNSMCA402 Initiate legal recovery of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F1A90" w:rsidP="000754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B82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088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A6E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443"/>
  </w:style>
  <w:style w:type="character" w:customStyle="1" w:styleId="Heading1Char">
    <w:name w:val="Heading 1 Char"/>
    <w:basedOn w:val="DefaultParagraphFont"/>
    <w:link w:val="Heading1"/>
    <w:rsid w:val="00075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4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4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4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443"/>
    <w:rPr>
      <w:b/>
      <w:spacing w:val="0"/>
    </w:rPr>
  </w:style>
  <w:style w:type="paragraph" w:styleId="ListBullet2">
    <w:name w:val="List Bullet 2"/>
    <w:basedOn w:val="List2"/>
    <w:rsid w:val="000754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54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4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4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4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4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4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5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4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4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443"/>
    <w:rPr>
      <w:i/>
    </w:rPr>
  </w:style>
  <w:style w:type="paragraph" w:styleId="Caption">
    <w:name w:val="caption"/>
    <w:basedOn w:val="BodyText"/>
    <w:next w:val="Normal"/>
    <w:qFormat/>
    <w:rsid w:val="00075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443"/>
  </w:style>
  <w:style w:type="paragraph" w:styleId="TableofFigures">
    <w:name w:val="table of figures"/>
    <w:basedOn w:val="Normal"/>
    <w:next w:val="Normal"/>
    <w:semiHidden/>
    <w:rsid w:val="00075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4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5443"/>
    <w:rPr>
      <w:rFonts w:ascii="Wingdings" w:hAnsi="Wingdings"/>
    </w:rPr>
  </w:style>
  <w:style w:type="paragraph" w:customStyle="1" w:styleId="TableHeading">
    <w:name w:val="Table Heading"/>
    <w:basedOn w:val="HeadingBase"/>
    <w:rsid w:val="00075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443"/>
    <w:rPr>
      <w:color w:val="0033CC"/>
      <w:u w:val="none"/>
    </w:rPr>
  </w:style>
  <w:style w:type="paragraph" w:customStyle="1" w:styleId="BodyTextRight">
    <w:name w:val="Body Text Right"/>
    <w:basedOn w:val="BodyText"/>
    <w:rsid w:val="00075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4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4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443"/>
    <w:rPr>
      <w:sz w:val="32"/>
    </w:rPr>
  </w:style>
  <w:style w:type="paragraph" w:customStyle="1" w:styleId="HeadingProcedure">
    <w:name w:val="Heading Procedure"/>
    <w:basedOn w:val="HeadingBase"/>
    <w:next w:val="Normal"/>
    <w:rsid w:val="00075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443"/>
    <w:pPr>
      <w:spacing w:before="60" w:after="60"/>
    </w:pPr>
  </w:style>
  <w:style w:type="paragraph" w:styleId="ListContinue">
    <w:name w:val="List Continue"/>
    <w:basedOn w:val="List"/>
    <w:rsid w:val="00075443"/>
    <w:pPr>
      <w:ind w:firstLine="0"/>
    </w:pPr>
  </w:style>
  <w:style w:type="paragraph" w:customStyle="1" w:styleId="ListNote">
    <w:name w:val="List Note"/>
    <w:basedOn w:val="List"/>
    <w:rsid w:val="00075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443"/>
    <w:rPr>
      <w:rFonts w:ascii="Courier New" w:hAnsi="Courier New"/>
    </w:rPr>
  </w:style>
  <w:style w:type="paragraph" w:customStyle="1" w:styleId="NoteBullet">
    <w:name w:val="Note Bullet"/>
    <w:basedOn w:val="Note"/>
    <w:rsid w:val="00075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4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5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4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443"/>
    <w:rPr>
      <w:b/>
      <w:smallCaps/>
    </w:rPr>
  </w:style>
  <w:style w:type="paragraph" w:customStyle="1" w:styleId="TableListNumber">
    <w:name w:val="Table List Number"/>
    <w:basedOn w:val="ListNumber"/>
    <w:rsid w:val="00075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443"/>
    <w:pPr>
      <w:numPr>
        <w:numId w:val="9"/>
      </w:numPr>
    </w:pPr>
  </w:style>
  <w:style w:type="paragraph" w:customStyle="1" w:styleId="ListAlpha2">
    <w:name w:val="List Alpha 2"/>
    <w:basedOn w:val="List2"/>
    <w:rsid w:val="00075443"/>
    <w:pPr>
      <w:numPr>
        <w:numId w:val="8"/>
      </w:numPr>
    </w:pPr>
  </w:style>
  <w:style w:type="paragraph" w:styleId="List2">
    <w:name w:val="List 2"/>
    <w:basedOn w:val="BodyText"/>
    <w:rsid w:val="000754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4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4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4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5443"/>
    <w:pPr>
      <w:numPr>
        <w:numId w:val="4"/>
      </w:numPr>
    </w:pPr>
  </w:style>
  <w:style w:type="paragraph" w:styleId="ListContinue2">
    <w:name w:val="List Continue 2"/>
    <w:basedOn w:val="List2"/>
    <w:rsid w:val="00075443"/>
    <w:pPr>
      <w:ind w:firstLine="0"/>
    </w:pPr>
  </w:style>
  <w:style w:type="paragraph" w:styleId="ListContinue3">
    <w:name w:val="List Continue 3"/>
    <w:basedOn w:val="List3"/>
    <w:rsid w:val="00075443"/>
    <w:pPr>
      <w:ind w:left="1021" w:firstLine="0"/>
    </w:pPr>
  </w:style>
  <w:style w:type="paragraph" w:styleId="ListContinue4">
    <w:name w:val="List Continue 4"/>
    <w:basedOn w:val="List4"/>
    <w:rsid w:val="00075443"/>
    <w:pPr>
      <w:ind w:firstLine="0"/>
    </w:pPr>
  </w:style>
  <w:style w:type="paragraph" w:styleId="ListContinue5">
    <w:name w:val="List Continue 5"/>
    <w:basedOn w:val="List5"/>
    <w:rsid w:val="00075443"/>
    <w:pPr>
      <w:ind w:firstLine="0"/>
    </w:pPr>
  </w:style>
  <w:style w:type="paragraph" w:styleId="ListNumber3">
    <w:name w:val="List Number 3"/>
    <w:basedOn w:val="List3"/>
    <w:rsid w:val="00075443"/>
    <w:pPr>
      <w:numPr>
        <w:numId w:val="5"/>
      </w:numPr>
    </w:pPr>
  </w:style>
  <w:style w:type="paragraph" w:styleId="ListNumber4">
    <w:name w:val="List Number 4"/>
    <w:basedOn w:val="List4"/>
    <w:rsid w:val="00075443"/>
    <w:pPr>
      <w:numPr>
        <w:numId w:val="6"/>
      </w:numPr>
    </w:pPr>
  </w:style>
  <w:style w:type="paragraph" w:styleId="ListNumber5">
    <w:name w:val="List Number 5"/>
    <w:basedOn w:val="List5"/>
    <w:rsid w:val="00075443"/>
    <w:pPr>
      <w:numPr>
        <w:numId w:val="7"/>
      </w:numPr>
    </w:pPr>
  </w:style>
  <w:style w:type="paragraph" w:styleId="BlockText">
    <w:name w:val="Block Text"/>
    <w:basedOn w:val="Normal"/>
    <w:rsid w:val="00075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443"/>
    <w:rPr>
      <w:sz w:val="16"/>
      <w:vertAlign w:val="superscript"/>
    </w:rPr>
  </w:style>
  <w:style w:type="character" w:customStyle="1" w:styleId="Symbols">
    <w:name w:val="Symbols"/>
    <w:basedOn w:val="DefaultParagraphFont"/>
    <w:rsid w:val="00075443"/>
    <w:rPr>
      <w:rFonts w:ascii="Symbol" w:hAnsi="Symbol"/>
    </w:rPr>
  </w:style>
  <w:style w:type="character" w:customStyle="1" w:styleId="MenuOptions">
    <w:name w:val="Menu Options"/>
    <w:basedOn w:val="DefaultParagraphFont"/>
    <w:rsid w:val="00075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443"/>
    <w:rPr>
      <w:b/>
    </w:rPr>
  </w:style>
  <w:style w:type="character" w:customStyle="1" w:styleId="Underlined">
    <w:name w:val="Underlined"/>
    <w:basedOn w:val="DefaultParagraphFont"/>
    <w:rsid w:val="00075443"/>
    <w:rPr>
      <w:u w:val="single"/>
    </w:rPr>
  </w:style>
  <w:style w:type="paragraph" w:customStyle="1" w:styleId="TableBodyTextRight">
    <w:name w:val="Table Body Text Right"/>
    <w:basedOn w:val="TableBodyText"/>
    <w:rsid w:val="00075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443"/>
    <w:rPr>
      <w:sz w:val="18"/>
    </w:rPr>
  </w:style>
  <w:style w:type="paragraph" w:customStyle="1" w:styleId="BodySmallRight">
    <w:name w:val="Body Small Right"/>
    <w:basedOn w:val="BodyTextRight"/>
    <w:rsid w:val="00075443"/>
    <w:rPr>
      <w:sz w:val="18"/>
      <w:szCs w:val="18"/>
    </w:rPr>
  </w:style>
  <w:style w:type="paragraph" w:customStyle="1" w:styleId="MarginEdition">
    <w:name w:val="Margin Edition"/>
    <w:basedOn w:val="MarginNote"/>
    <w:rsid w:val="00075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443"/>
    <w:rPr>
      <w:sz w:val="2"/>
      <w:szCs w:val="2"/>
    </w:rPr>
  </w:style>
  <w:style w:type="character" w:customStyle="1" w:styleId="Small">
    <w:name w:val="Small"/>
    <w:basedOn w:val="DefaultParagraphFont"/>
    <w:rsid w:val="00075443"/>
    <w:rPr>
      <w:sz w:val="16"/>
    </w:rPr>
  </w:style>
  <w:style w:type="paragraph" w:customStyle="1" w:styleId="WideTable">
    <w:name w:val="Wide Table"/>
    <w:basedOn w:val="Normal"/>
    <w:rsid w:val="00075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443"/>
  </w:style>
  <w:style w:type="paragraph" w:styleId="Quote">
    <w:name w:val="Quote"/>
    <w:basedOn w:val="Heading1"/>
    <w:link w:val="QuoteChar"/>
    <w:qFormat/>
    <w:rsid w:val="00075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443"/>
    <w:pPr>
      <w:pageBreakBefore/>
    </w:pPr>
  </w:style>
  <w:style w:type="paragraph" w:customStyle="1" w:styleId="Border">
    <w:name w:val="Border"/>
    <w:basedOn w:val="Normal"/>
    <w:qFormat/>
    <w:rsid w:val="00075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4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443"/>
    <w:rPr>
      <w:u w:val="single"/>
    </w:rPr>
  </w:style>
  <w:style w:type="character" w:customStyle="1" w:styleId="BoldandItalics">
    <w:name w:val="Bold and Italics"/>
    <w:qFormat/>
    <w:rsid w:val="00075443"/>
    <w:rPr>
      <w:b/>
      <w:i/>
      <w:u w:val="none"/>
    </w:rPr>
  </w:style>
  <w:style w:type="paragraph" w:styleId="BalloonText">
    <w:name w:val="Balloon Text"/>
    <w:basedOn w:val="Normal"/>
    <w:link w:val="BalloonTextChar"/>
    <w:rsid w:val="00075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4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4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4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4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4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443"/>
    <w:pPr>
      <w:spacing w:before="0" w:after="0"/>
    </w:pPr>
  </w:style>
  <w:style w:type="paragraph" w:customStyle="1" w:styleId="BodyTextBold">
    <w:name w:val="Body Text Bold"/>
    <w:basedOn w:val="BodyText"/>
    <w:qFormat/>
    <w:rsid w:val="00075443"/>
    <w:rPr>
      <w:b/>
    </w:rPr>
  </w:style>
  <w:style w:type="character" w:styleId="Hyperlink">
    <w:name w:val="Hyperlink"/>
    <w:basedOn w:val="DefaultParagraphFont"/>
    <w:uiPriority w:val="99"/>
    <w:unhideWhenUsed/>
    <w:rsid w:val="002F1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2439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FNSMCA402 Initiate legal recovery of debts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