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06BD" w:rsidP="00A206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FNSMCA312 Repossess property</w:t>
      </w:r>
      <w:r>
        <w:fldChar w:fldCharType="end"/>
      </w:r>
    </w:p>
    <w:p w:rsidR="00A206BD" w:rsidP="00A206BD">
      <w:pPr>
        <w:pStyle w:val="Version"/>
        <w:sectPr w:rsidSect="00E141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41C1" w:rsidP="00E141C1">
      <w:pPr>
        <w:pStyle w:val="SuperHeading"/>
      </w:pPr>
      <w:r w:rsidRPr="00E141C1">
        <w:t>Assessment Requirements for FNSMCA312 Repossess property</w:t>
      </w:r>
    </w:p>
    <w:p w:rsidR="00000000" w:rsidRPr="00E141C1" w:rsidP="00E141C1">
      <w:pPr>
        <w:pStyle w:val="Heading1"/>
      </w:pPr>
      <w:bookmarkStart w:id="1" w:name="O_1156624"/>
      <w:bookmarkEnd w:id="1"/>
      <w:r w:rsidRPr="00E141C1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E141C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1C1" w:rsidP="00E141C1">
            <w:pPr>
              <w:pStyle w:val="BodyText"/>
            </w:pPr>
            <w:r w:rsidRPr="00E141C1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1C1">
            <w:pPr>
              <w:pStyle w:val="BodyText"/>
              <w:rPr>
                <w:lang w:val="en-NZ"/>
              </w:rPr>
            </w:pPr>
            <w:r w:rsidRPr="00E141C1">
              <w:rPr>
                <w:rStyle w:val="SpecialBold"/>
              </w:rPr>
              <w:t>Comments</w:t>
            </w:r>
          </w:p>
        </w:tc>
      </w:tr>
      <w:tr w:rsidTr="00E141C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1C1">
            <w:pPr>
              <w:pStyle w:val="BodyText"/>
              <w:rPr>
                <w:lang w:val="en-NZ"/>
              </w:rPr>
            </w:pPr>
            <w:r w:rsidRPr="00E141C1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1C1" w:rsidP="00E141C1">
            <w:pPr>
              <w:pStyle w:val="BodyText"/>
            </w:pPr>
            <w:r w:rsidRPr="00E141C1">
              <w:t>This version first released with FNS Financial Services Training Package Version 6.0.</w:t>
            </w:r>
          </w:p>
        </w:tc>
      </w:tr>
    </w:tbl>
    <w:p w:rsidR="00000000" w:rsidRPr="00E141C1" w:rsidP="00E141C1">
      <w:pPr>
        <w:pStyle w:val="BodyText"/>
      </w:pPr>
    </w:p>
    <w:p w:rsidR="00000000" w:rsidRPr="00E141C1" w:rsidP="00E141C1">
      <w:pPr>
        <w:pStyle w:val="AllowPageBreak"/>
      </w:pPr>
    </w:p>
    <w:p w:rsidR="00000000" w:rsidRPr="00E141C1" w:rsidP="00E141C1">
      <w:pPr>
        <w:pStyle w:val="Heading1"/>
      </w:pPr>
      <w:bookmarkStart w:id="2" w:name="O_1156627"/>
      <w:bookmarkEnd w:id="2"/>
      <w:r w:rsidRPr="00E141C1">
        <w:t>Performance Evidence</w:t>
      </w:r>
    </w:p>
    <w:p w:rsidR="00000000" w:rsidRPr="00E141C1" w:rsidP="00A206BD">
      <w:pPr>
        <w:pStyle w:val="BodyText"/>
      </w:pPr>
      <w:r w:rsidRPr="00E141C1">
        <w:t>The candidate must demonstrate the ability to complete the ta</w:t>
      </w:r>
      <w:r w:rsidRPr="00E141C1">
        <w:t>sks outlined in the elements, performance criteria and foundation skills of this unit, including evidence of the ability to:</w:t>
      </w:r>
    </w:p>
    <w:p w:rsidR="00000000" w:rsidRPr="00E141C1" w:rsidP="00E141C1">
      <w:pPr>
        <w:pStyle w:val="ListBullet"/>
      </w:pPr>
      <w:r w:rsidRPr="00E141C1">
        <w:t>repossess at least three different properties.</w:t>
      </w:r>
    </w:p>
    <w:p w:rsidR="00000000" w:rsidRPr="00E141C1" w:rsidP="00E141C1">
      <w:pPr>
        <w:pStyle w:val="AllowPageBreak"/>
      </w:pPr>
    </w:p>
    <w:p w:rsidR="00000000" w:rsidRPr="00E141C1" w:rsidP="00E141C1">
      <w:pPr>
        <w:pStyle w:val="Heading1"/>
      </w:pPr>
      <w:bookmarkStart w:id="3" w:name="O_1156626"/>
      <w:bookmarkEnd w:id="3"/>
      <w:r w:rsidRPr="00E141C1">
        <w:t>Knowledge Evidence</w:t>
      </w:r>
    </w:p>
    <w:p w:rsidR="00000000" w:rsidRPr="00E141C1" w:rsidP="00A206BD">
      <w:pPr>
        <w:pStyle w:val="BodyText"/>
      </w:pPr>
      <w:r w:rsidRPr="00E141C1">
        <w:t>The candidate must be able to demonstrate kno</w:t>
      </w:r>
      <w:r w:rsidRPr="00E141C1">
        <w:t>wledge to complete the tasks outlined in the elements, performance criteria and foundation skills of this unit, including knowledge of:</w:t>
      </w:r>
    </w:p>
    <w:p w:rsidR="00000000" w:rsidRPr="00E141C1" w:rsidP="00E141C1">
      <w:pPr>
        <w:pStyle w:val="ListBullet"/>
      </w:pPr>
      <w:r w:rsidRPr="00E141C1">
        <w:t xml:space="preserve">organisational policies and procedures, and legislative and regulatory requirements related </w:t>
      </w:r>
      <w:r w:rsidRPr="00E141C1">
        <w:t>to debt collection and mercantile agents, including those relating to:</w:t>
      </w:r>
    </w:p>
    <w:p w:rsidR="00000000" w:rsidRPr="00E141C1" w:rsidP="00E141C1">
      <w:pPr>
        <w:pStyle w:val="ListBullet2"/>
      </w:pPr>
      <w:r w:rsidRPr="00E141C1">
        <w:t xml:space="preserve">property searching </w:t>
      </w:r>
    </w:p>
    <w:p w:rsidR="00000000" w:rsidRPr="00E141C1" w:rsidP="00E141C1">
      <w:pPr>
        <w:pStyle w:val="ListBullet2"/>
      </w:pPr>
      <w:r w:rsidRPr="00E141C1">
        <w:t>trespass laws</w:t>
      </w:r>
    </w:p>
    <w:p w:rsidR="00000000" w:rsidRPr="00E141C1" w:rsidP="00E141C1">
      <w:pPr>
        <w:pStyle w:val="ListBullet2"/>
      </w:pPr>
      <w:r w:rsidRPr="00E141C1">
        <w:t>debt collection guidelines</w:t>
      </w:r>
    </w:p>
    <w:p w:rsidR="00000000" w:rsidRPr="00E141C1" w:rsidP="00E141C1">
      <w:pPr>
        <w:pStyle w:val="ListBullet2"/>
      </w:pPr>
      <w:r w:rsidRPr="00E141C1">
        <w:t>identification of hardship and hardship variations</w:t>
      </w:r>
    </w:p>
    <w:p w:rsidR="00000000" w:rsidRPr="00E141C1" w:rsidP="00E141C1">
      <w:pPr>
        <w:pStyle w:val="ListBullet2"/>
      </w:pPr>
      <w:r w:rsidRPr="00E141C1">
        <w:t>personal securities register</w:t>
      </w:r>
    </w:p>
    <w:p w:rsidR="00000000" w:rsidRPr="00E141C1" w:rsidP="00E141C1">
      <w:pPr>
        <w:pStyle w:val="ListBullet2"/>
      </w:pPr>
      <w:r w:rsidRPr="00E141C1">
        <w:t>mortgage security</w:t>
      </w:r>
    </w:p>
    <w:p w:rsidR="00000000" w:rsidRPr="00E141C1" w:rsidP="00E141C1">
      <w:pPr>
        <w:pStyle w:val="ListBullet2"/>
      </w:pPr>
      <w:r w:rsidRPr="00E141C1">
        <w:t>limits related to debt am</w:t>
      </w:r>
      <w:r w:rsidRPr="00E141C1">
        <w:t xml:space="preserve">ounts that prevent repossession </w:t>
      </w:r>
    </w:p>
    <w:p w:rsidR="00000000" w:rsidRPr="00E141C1" w:rsidP="00E141C1">
      <w:pPr>
        <w:pStyle w:val="ListBullet2"/>
      </w:pPr>
      <w:r w:rsidRPr="00E141C1">
        <w:t xml:space="preserve">maintaining repossession documentation </w:t>
      </w:r>
    </w:p>
    <w:p w:rsidR="00000000" w:rsidRPr="00E141C1" w:rsidP="00E141C1">
      <w:pPr>
        <w:pStyle w:val="ListBullet"/>
      </w:pPr>
      <w:r w:rsidRPr="00E141C1">
        <w:t xml:space="preserve">negotiation and conflict resolution techniques related to debt settlements </w:t>
      </w:r>
    </w:p>
    <w:p w:rsidR="00000000" w:rsidRPr="00E141C1" w:rsidP="00E141C1">
      <w:pPr>
        <w:pStyle w:val="ListBullet"/>
      </w:pPr>
      <w:r w:rsidRPr="00E141C1">
        <w:t>principles and procedures of:</w:t>
      </w:r>
    </w:p>
    <w:p w:rsidR="00000000" w:rsidRPr="00E141C1" w:rsidP="00E141C1">
      <w:pPr>
        <w:pStyle w:val="ListBullet2"/>
      </w:pPr>
      <w:r w:rsidRPr="00E141C1">
        <w:t>lawful repossession</w:t>
      </w:r>
    </w:p>
    <w:p w:rsidR="00000000" w:rsidRPr="00E141C1" w:rsidP="00E141C1">
      <w:pPr>
        <w:pStyle w:val="ListBullet2"/>
      </w:pPr>
      <w:r w:rsidRPr="00E141C1">
        <w:t xml:space="preserve">notices of intention to repossess </w:t>
      </w:r>
    </w:p>
    <w:p w:rsidR="00000000" w:rsidRPr="00E141C1" w:rsidP="00E141C1">
      <w:pPr>
        <w:pStyle w:val="ListBullet2"/>
      </w:pPr>
      <w:r w:rsidRPr="00E141C1">
        <w:t xml:space="preserve">court authorisation </w:t>
      </w:r>
      <w:r w:rsidRPr="00E141C1">
        <w:t>to repossess</w:t>
      </w:r>
    </w:p>
    <w:p w:rsidR="00000000" w:rsidRPr="00E141C1" w:rsidP="00E141C1">
      <w:pPr>
        <w:pStyle w:val="ListBullet2"/>
      </w:pPr>
      <w:r w:rsidRPr="00E141C1">
        <w:t>methods of repossession</w:t>
      </w:r>
    </w:p>
    <w:p w:rsidR="00000000" w:rsidRPr="00E141C1" w:rsidP="00E141C1">
      <w:pPr>
        <w:pStyle w:val="ListBullet2"/>
      </w:pPr>
      <w:r w:rsidRPr="00E141C1">
        <w:t>ethical practices in repossession</w:t>
      </w:r>
    </w:p>
    <w:p w:rsidR="00000000" w:rsidRPr="00E141C1" w:rsidP="00E141C1">
      <w:pPr>
        <w:pStyle w:val="ListBullet2"/>
      </w:pPr>
      <w:r w:rsidRPr="00E141C1">
        <w:t>post-repossession valuation and notices to debtor</w:t>
      </w:r>
    </w:p>
    <w:p w:rsidR="00000000" w:rsidRPr="00E141C1" w:rsidP="00E141C1">
      <w:pPr>
        <w:pStyle w:val="ListBullet"/>
      </w:pPr>
      <w:r w:rsidRPr="00E141C1">
        <w:t>role of third-party agents and other service providers, including court officers and police in repossession of property</w:t>
      </w:r>
    </w:p>
    <w:p w:rsidR="00000000" w:rsidRPr="00E141C1" w:rsidP="00E141C1">
      <w:pPr>
        <w:pStyle w:val="ListBullet"/>
      </w:pPr>
      <w:r w:rsidRPr="00E141C1">
        <w:t>role, procedures and documentation of the various court jurisdictions and legal requirements prior to the repossession of property</w:t>
      </w:r>
    </w:p>
    <w:p w:rsidR="00000000" w:rsidRPr="00E141C1" w:rsidP="00E141C1">
      <w:pPr>
        <w:pStyle w:val="ListBullet"/>
      </w:pPr>
      <w:r w:rsidRPr="00E141C1">
        <w:t>safety procedures relevant to debt collection processes</w:t>
      </w:r>
    </w:p>
    <w:p w:rsidR="00000000" w:rsidRPr="00E141C1" w:rsidP="00E141C1">
      <w:pPr>
        <w:pStyle w:val="ListBullet"/>
      </w:pPr>
      <w:r w:rsidRPr="00E141C1">
        <w:t>strategies related to building rapport with debtors</w:t>
      </w:r>
    </w:p>
    <w:p w:rsidR="00000000" w:rsidRPr="00E141C1" w:rsidP="00E141C1">
      <w:pPr>
        <w:pStyle w:val="ListBullet"/>
      </w:pPr>
      <w:r w:rsidRPr="00E141C1">
        <w:t>techniques for le</w:t>
      </w:r>
      <w:r w:rsidRPr="00E141C1">
        <w:t>gally searching to locate property to be repossessed.</w:t>
      </w:r>
    </w:p>
    <w:p w:rsidR="00000000" w:rsidRPr="00E141C1" w:rsidP="00E141C1">
      <w:pPr>
        <w:pStyle w:val="AllowPageBreak"/>
      </w:pPr>
    </w:p>
    <w:p w:rsidR="00000000" w:rsidRPr="00E141C1" w:rsidP="00E141C1">
      <w:pPr>
        <w:pStyle w:val="Heading1"/>
      </w:pPr>
      <w:bookmarkStart w:id="4" w:name="O_1156625"/>
      <w:bookmarkEnd w:id="4"/>
      <w:r w:rsidRPr="00E141C1">
        <w:t>Assessment Conditions</w:t>
      </w:r>
    </w:p>
    <w:p w:rsidR="00000000" w:rsidRPr="00E141C1" w:rsidP="00A206BD">
      <w:pPr>
        <w:pStyle w:val="BodyText"/>
      </w:pPr>
      <w:r w:rsidRPr="00E141C1">
        <w:t>Skills in this unit must be demonstrated in a workplace or simulated environment where the conditions are typical of those in a working environment in this indus</w:t>
      </w:r>
      <w:r w:rsidRPr="00E141C1">
        <w:t xml:space="preserve">try. </w:t>
      </w:r>
    </w:p>
    <w:p w:rsidR="00000000" w:rsidRPr="00E141C1" w:rsidP="00A206BD">
      <w:pPr>
        <w:pStyle w:val="BodyText"/>
      </w:pPr>
      <w:r w:rsidRPr="00E141C1">
        <w:t>This includes access to:</w:t>
      </w:r>
    </w:p>
    <w:p w:rsidR="00000000" w:rsidRPr="00E141C1" w:rsidP="00E141C1">
      <w:pPr>
        <w:pStyle w:val="ListBullet"/>
      </w:pPr>
      <w:r w:rsidRPr="00E141C1">
        <w:t>organisational policies and procedures</w:t>
      </w:r>
    </w:p>
    <w:p w:rsidR="00000000" w:rsidRPr="00E141C1" w:rsidP="00E141C1">
      <w:pPr>
        <w:pStyle w:val="ListBullet"/>
      </w:pPr>
      <w:r w:rsidRPr="00E141C1">
        <w:t>organisational records and templates, including reports and documents related to condition of property, repossession activities, disposal results and payment arrangements</w:t>
      </w:r>
    </w:p>
    <w:p w:rsidR="00000000" w:rsidRPr="00E141C1" w:rsidP="00E141C1">
      <w:pPr>
        <w:pStyle w:val="ListBullet"/>
      </w:pPr>
      <w:r w:rsidRPr="00E141C1">
        <w:t>legal documents authorising repossession</w:t>
      </w:r>
    </w:p>
    <w:p w:rsidR="00000000" w:rsidRPr="00E141C1" w:rsidP="00E141C1">
      <w:pPr>
        <w:pStyle w:val="ListBullet"/>
      </w:pPr>
      <w:r w:rsidRPr="00E141C1">
        <w:t>organisational equipment, technology, software and consumables.</w:t>
      </w:r>
    </w:p>
    <w:p w:rsidR="00000000" w:rsidRPr="00E141C1" w:rsidP="00E141C1">
      <w:pPr>
        <w:pStyle w:val="List"/>
      </w:pPr>
    </w:p>
    <w:p w:rsidR="00000000" w:rsidRPr="00E141C1" w:rsidP="00A206BD">
      <w:pPr>
        <w:pStyle w:val="BodyText"/>
      </w:pPr>
      <w:r w:rsidRPr="00E141C1">
        <w:t>Assessors of this unit must satisfy the requirements for assessors in applicable vocational education and training legislation, frameworks and/or stan</w:t>
      </w:r>
      <w:r w:rsidRPr="00E141C1">
        <w:t>dards.</w:t>
      </w:r>
    </w:p>
    <w:p w:rsidR="00000000" w:rsidRPr="00E141C1" w:rsidP="00E141C1">
      <w:pPr>
        <w:pStyle w:val="Heading1"/>
      </w:pPr>
      <w:bookmarkStart w:id="5" w:name="O_1156623"/>
      <w:bookmarkEnd w:id="5"/>
      <w:r w:rsidRPr="00E141C1">
        <w:t>Links</w:t>
      </w:r>
    </w:p>
    <w:p w:rsidR="00000000" w:rsidRPr="00E141C1" w:rsidP="00A206BD">
      <w:pPr>
        <w:pStyle w:val="BodyText"/>
      </w:pPr>
      <w:r w:rsidRPr="00E141C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453B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141C1" w:rsidP="00E141C1"/>
    <w:sectPr w:rsidSect="00E141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1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1C1" w:rsidRPr="00A206BD" w:rsidP="00A206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1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6BD" w:rsidP="00E141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06BD" w:rsidP="00E141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206BD" w:rsidP="00E141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1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6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41C1" w:rsidRPr="00A206BD" w:rsidP="00A206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1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6BD" w:rsidRPr="002D2AF8" w:rsidP="00E141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FNSMCA312 Repossess property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A206BD" w:rsidP="00E141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A40F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B4D8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C029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41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41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41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41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41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41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41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41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41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41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41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41C1"/>
  </w:style>
  <w:style w:type="character" w:customStyle="1" w:styleId="Heading1Char">
    <w:name w:val="Heading 1 Char"/>
    <w:basedOn w:val="DefaultParagraphFont"/>
    <w:link w:val="Heading1"/>
    <w:rsid w:val="00E141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41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41C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141C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141C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41C1"/>
    <w:rPr>
      <w:b/>
      <w:spacing w:val="0"/>
    </w:rPr>
  </w:style>
  <w:style w:type="paragraph" w:styleId="ListBullet2">
    <w:name w:val="List Bullet 2"/>
    <w:basedOn w:val="List2"/>
    <w:rsid w:val="00E141C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141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41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41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41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41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41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41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41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41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41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41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41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41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41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41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41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41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41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41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41C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141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41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41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41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41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41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41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41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41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41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41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41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41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41C1"/>
    <w:rPr>
      <w:i/>
    </w:rPr>
  </w:style>
  <w:style w:type="paragraph" w:styleId="Caption">
    <w:name w:val="caption"/>
    <w:basedOn w:val="BodyText"/>
    <w:next w:val="Normal"/>
    <w:qFormat/>
    <w:rsid w:val="00E141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41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41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41C1"/>
  </w:style>
  <w:style w:type="paragraph" w:styleId="TableofFigures">
    <w:name w:val="table of figures"/>
    <w:basedOn w:val="Normal"/>
    <w:next w:val="Normal"/>
    <w:semiHidden/>
    <w:rsid w:val="00E141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41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41C1"/>
    <w:rPr>
      <w:rFonts w:ascii="Wingdings" w:hAnsi="Wingdings"/>
    </w:rPr>
  </w:style>
  <w:style w:type="paragraph" w:customStyle="1" w:styleId="TableHeading">
    <w:name w:val="Table Heading"/>
    <w:basedOn w:val="HeadingBase"/>
    <w:rsid w:val="00E141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41C1"/>
    <w:rPr>
      <w:color w:val="0033CC"/>
      <w:u w:val="none"/>
    </w:rPr>
  </w:style>
  <w:style w:type="paragraph" w:customStyle="1" w:styleId="BodyTextRight">
    <w:name w:val="Body Text Right"/>
    <w:basedOn w:val="BodyText"/>
    <w:rsid w:val="00E141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41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41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41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41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41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41C1"/>
    <w:rPr>
      <w:sz w:val="32"/>
    </w:rPr>
  </w:style>
  <w:style w:type="paragraph" w:customStyle="1" w:styleId="HeadingProcedure">
    <w:name w:val="Heading Procedure"/>
    <w:basedOn w:val="HeadingBase"/>
    <w:next w:val="Normal"/>
    <w:rsid w:val="00E141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41C1"/>
    <w:pPr>
      <w:spacing w:before="60" w:after="60"/>
    </w:pPr>
  </w:style>
  <w:style w:type="paragraph" w:styleId="ListContinue">
    <w:name w:val="List Continue"/>
    <w:basedOn w:val="List"/>
    <w:rsid w:val="00E141C1"/>
    <w:pPr>
      <w:ind w:firstLine="0"/>
    </w:pPr>
  </w:style>
  <w:style w:type="paragraph" w:customStyle="1" w:styleId="ListNote">
    <w:name w:val="List Note"/>
    <w:basedOn w:val="List"/>
    <w:rsid w:val="00E141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41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41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41C1"/>
    <w:rPr>
      <w:rFonts w:ascii="Courier New" w:hAnsi="Courier New"/>
    </w:rPr>
  </w:style>
  <w:style w:type="paragraph" w:customStyle="1" w:styleId="NoteBullet">
    <w:name w:val="Note Bullet"/>
    <w:basedOn w:val="Note"/>
    <w:rsid w:val="00E141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41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41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41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41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41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41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41C1"/>
    <w:rPr>
      <w:b/>
      <w:smallCaps/>
    </w:rPr>
  </w:style>
  <w:style w:type="paragraph" w:customStyle="1" w:styleId="TableListNumber">
    <w:name w:val="Table List Number"/>
    <w:basedOn w:val="ListNumber"/>
    <w:rsid w:val="00E141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41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41C1"/>
    <w:pPr>
      <w:numPr>
        <w:numId w:val="9"/>
      </w:numPr>
    </w:pPr>
  </w:style>
  <w:style w:type="paragraph" w:customStyle="1" w:styleId="ListAlpha2">
    <w:name w:val="List Alpha 2"/>
    <w:basedOn w:val="List2"/>
    <w:rsid w:val="00E141C1"/>
    <w:pPr>
      <w:numPr>
        <w:numId w:val="8"/>
      </w:numPr>
    </w:pPr>
  </w:style>
  <w:style w:type="paragraph" w:styleId="List2">
    <w:name w:val="List 2"/>
    <w:basedOn w:val="BodyText"/>
    <w:rsid w:val="00E141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41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41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41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41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41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41C1"/>
    <w:pPr>
      <w:numPr>
        <w:numId w:val="4"/>
      </w:numPr>
    </w:pPr>
  </w:style>
  <w:style w:type="paragraph" w:styleId="ListContinue2">
    <w:name w:val="List Continue 2"/>
    <w:basedOn w:val="List2"/>
    <w:rsid w:val="00E141C1"/>
    <w:pPr>
      <w:ind w:firstLine="0"/>
    </w:pPr>
  </w:style>
  <w:style w:type="paragraph" w:styleId="ListContinue3">
    <w:name w:val="List Continue 3"/>
    <w:basedOn w:val="List3"/>
    <w:rsid w:val="00E141C1"/>
    <w:pPr>
      <w:ind w:left="1021" w:firstLine="0"/>
    </w:pPr>
  </w:style>
  <w:style w:type="paragraph" w:styleId="ListContinue4">
    <w:name w:val="List Continue 4"/>
    <w:basedOn w:val="List4"/>
    <w:rsid w:val="00E141C1"/>
    <w:pPr>
      <w:ind w:firstLine="0"/>
    </w:pPr>
  </w:style>
  <w:style w:type="paragraph" w:styleId="ListContinue5">
    <w:name w:val="List Continue 5"/>
    <w:basedOn w:val="List5"/>
    <w:rsid w:val="00E141C1"/>
    <w:pPr>
      <w:ind w:firstLine="0"/>
    </w:pPr>
  </w:style>
  <w:style w:type="paragraph" w:styleId="ListNumber3">
    <w:name w:val="List Number 3"/>
    <w:basedOn w:val="List3"/>
    <w:rsid w:val="00E141C1"/>
    <w:pPr>
      <w:numPr>
        <w:numId w:val="5"/>
      </w:numPr>
    </w:pPr>
  </w:style>
  <w:style w:type="paragraph" w:styleId="ListNumber4">
    <w:name w:val="List Number 4"/>
    <w:basedOn w:val="List4"/>
    <w:rsid w:val="00E141C1"/>
    <w:pPr>
      <w:numPr>
        <w:numId w:val="6"/>
      </w:numPr>
    </w:pPr>
  </w:style>
  <w:style w:type="paragraph" w:styleId="ListNumber5">
    <w:name w:val="List Number 5"/>
    <w:basedOn w:val="List5"/>
    <w:rsid w:val="00E141C1"/>
    <w:pPr>
      <w:numPr>
        <w:numId w:val="7"/>
      </w:numPr>
    </w:pPr>
  </w:style>
  <w:style w:type="paragraph" w:styleId="BlockText">
    <w:name w:val="Block Text"/>
    <w:basedOn w:val="Normal"/>
    <w:rsid w:val="00E141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41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41C1"/>
    <w:rPr>
      <w:sz w:val="16"/>
      <w:vertAlign w:val="superscript"/>
    </w:rPr>
  </w:style>
  <w:style w:type="character" w:customStyle="1" w:styleId="Symbols">
    <w:name w:val="Symbols"/>
    <w:basedOn w:val="DefaultParagraphFont"/>
    <w:rsid w:val="00E141C1"/>
    <w:rPr>
      <w:rFonts w:ascii="Symbol" w:hAnsi="Symbol"/>
    </w:rPr>
  </w:style>
  <w:style w:type="character" w:customStyle="1" w:styleId="MenuOptions">
    <w:name w:val="Menu Options"/>
    <w:basedOn w:val="DefaultParagraphFont"/>
    <w:rsid w:val="00E141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41C1"/>
    <w:rPr>
      <w:b/>
    </w:rPr>
  </w:style>
  <w:style w:type="character" w:customStyle="1" w:styleId="Underlined">
    <w:name w:val="Underlined"/>
    <w:basedOn w:val="DefaultParagraphFont"/>
    <w:rsid w:val="00E141C1"/>
    <w:rPr>
      <w:u w:val="single"/>
    </w:rPr>
  </w:style>
  <w:style w:type="paragraph" w:customStyle="1" w:styleId="TableBodyTextRight">
    <w:name w:val="Table Body Text Right"/>
    <w:basedOn w:val="TableBodyText"/>
    <w:rsid w:val="00E141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41C1"/>
    <w:rPr>
      <w:sz w:val="18"/>
    </w:rPr>
  </w:style>
  <w:style w:type="paragraph" w:customStyle="1" w:styleId="BodySmallRight">
    <w:name w:val="Body Small Right"/>
    <w:basedOn w:val="BodyTextRight"/>
    <w:rsid w:val="00E141C1"/>
    <w:rPr>
      <w:sz w:val="18"/>
      <w:szCs w:val="18"/>
    </w:rPr>
  </w:style>
  <w:style w:type="paragraph" w:customStyle="1" w:styleId="MarginEdition">
    <w:name w:val="Margin Edition"/>
    <w:basedOn w:val="MarginNote"/>
    <w:rsid w:val="00E141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41C1"/>
    <w:rPr>
      <w:sz w:val="2"/>
      <w:szCs w:val="2"/>
    </w:rPr>
  </w:style>
  <w:style w:type="character" w:customStyle="1" w:styleId="Small">
    <w:name w:val="Small"/>
    <w:basedOn w:val="DefaultParagraphFont"/>
    <w:rsid w:val="00E141C1"/>
    <w:rPr>
      <w:sz w:val="16"/>
    </w:rPr>
  </w:style>
  <w:style w:type="paragraph" w:customStyle="1" w:styleId="WideTable">
    <w:name w:val="Wide Table"/>
    <w:basedOn w:val="Normal"/>
    <w:rsid w:val="00E141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41C1"/>
  </w:style>
  <w:style w:type="paragraph" w:styleId="Quote">
    <w:name w:val="Quote"/>
    <w:basedOn w:val="Heading1"/>
    <w:link w:val="QuoteChar"/>
    <w:qFormat/>
    <w:rsid w:val="00E141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41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41C1"/>
    <w:pPr>
      <w:pageBreakBefore/>
    </w:pPr>
  </w:style>
  <w:style w:type="paragraph" w:customStyle="1" w:styleId="Border">
    <w:name w:val="Border"/>
    <w:basedOn w:val="Normal"/>
    <w:qFormat/>
    <w:rsid w:val="00E141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41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41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41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41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41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41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41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41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41C1"/>
    <w:rPr>
      <w:u w:val="single"/>
    </w:rPr>
  </w:style>
  <w:style w:type="character" w:customStyle="1" w:styleId="BoldandItalics">
    <w:name w:val="Bold and Italics"/>
    <w:qFormat/>
    <w:rsid w:val="00E141C1"/>
    <w:rPr>
      <w:b/>
      <w:i/>
      <w:u w:val="none"/>
    </w:rPr>
  </w:style>
  <w:style w:type="paragraph" w:styleId="BalloonText">
    <w:name w:val="Balloon Text"/>
    <w:basedOn w:val="Normal"/>
    <w:link w:val="BalloonTextChar"/>
    <w:rsid w:val="00E141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41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41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41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41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41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41C1"/>
    <w:pPr>
      <w:spacing w:before="0" w:after="0"/>
    </w:pPr>
  </w:style>
  <w:style w:type="paragraph" w:customStyle="1" w:styleId="BodyTextBold">
    <w:name w:val="Body Text Bold"/>
    <w:basedOn w:val="BodyText"/>
    <w:qFormat/>
    <w:rsid w:val="00E141C1"/>
    <w:rPr>
      <w:b/>
    </w:rPr>
  </w:style>
  <w:style w:type="character" w:styleId="Hyperlink">
    <w:name w:val="Hyperlink"/>
    <w:basedOn w:val="DefaultParagraphFont"/>
    <w:uiPriority w:val="99"/>
    <w:unhideWhenUsed/>
    <w:rsid w:val="00A206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359</Words>
  <Characters>2520</Characters>
  <Application>Microsoft Office Word</Application>
  <DocSecurity>0</DocSecurity>
  <Lines>68</Lines>
  <Paragraphs>54</Paragraphs>
  <ScaleCrop>false</ScaleCrop>
  <Company>Author-it Software Corporation Ltd.</Company>
  <LinksUpToDate>false</LinksUpToDate>
  <CharactersWithSpaces>2825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FNSMCA312 Repossess property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2022-11-03T07:24:00Z</dcterms:created>
  <dcterms:modified xsi:type="dcterms:W3CDTF">2022-11-03T07:25:00Z</dcterms:modified>
</cp:coreProperties>
</file>