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2DB0" w:rsidP="00232D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FNSMCA302 Repossess property</w:t>
      </w:r>
      <w:r>
        <w:fldChar w:fldCharType="end"/>
      </w:r>
    </w:p>
    <w:p w:rsidR="00232DB0" w:rsidP="00232DB0">
      <w:pPr>
        <w:pStyle w:val="Version"/>
        <w:sectPr w:rsidSect="00DE1E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1ED5" w:rsidP="00DE1ED5">
      <w:pPr>
        <w:pStyle w:val="SuperHeading"/>
      </w:pPr>
      <w:r w:rsidRPr="00DE1ED5">
        <w:t>Assessment Requirements for FNSMCA302 Repossess property</w:t>
      </w:r>
    </w:p>
    <w:p w:rsidR="00000000" w:rsidRPr="00DE1ED5" w:rsidP="00DE1ED5">
      <w:pPr>
        <w:pStyle w:val="Heading1"/>
      </w:pPr>
      <w:bookmarkStart w:id="1" w:name="O_693055"/>
      <w:bookmarkEnd w:id="1"/>
      <w:r w:rsidRPr="00DE1ED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E1E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ED5" w:rsidP="00DE1ED5">
            <w:pPr>
              <w:pStyle w:val="BodyText"/>
            </w:pPr>
            <w:r w:rsidRPr="00DE1ED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ED5">
            <w:pPr>
              <w:pStyle w:val="BodyText"/>
              <w:rPr>
                <w:lang w:val="en-NZ"/>
              </w:rPr>
            </w:pPr>
            <w:r w:rsidRPr="00DE1ED5">
              <w:rPr>
                <w:rStyle w:val="SpecialBold"/>
              </w:rPr>
              <w:t>Comments</w:t>
            </w:r>
          </w:p>
        </w:tc>
      </w:tr>
      <w:tr w:rsidTr="00DE1E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ED5">
            <w:pPr>
              <w:pStyle w:val="BodyText"/>
              <w:rPr>
                <w:lang w:val="en-NZ"/>
              </w:rPr>
            </w:pPr>
            <w:r w:rsidRPr="00DE1ED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ED5" w:rsidP="00DE1ED5">
            <w:pPr>
              <w:pStyle w:val="BodyText"/>
            </w:pPr>
            <w:r w:rsidRPr="00DE1ED5">
              <w:t>This version first released with FNS Financial Services Training Package Version 1.0.</w:t>
            </w:r>
          </w:p>
        </w:tc>
      </w:tr>
    </w:tbl>
    <w:p w:rsidR="00000000" w:rsidRPr="00DE1ED5" w:rsidP="00DE1ED5">
      <w:pPr>
        <w:pStyle w:val="BodyText"/>
      </w:pPr>
    </w:p>
    <w:p w:rsidR="00000000" w:rsidRPr="00DE1ED5" w:rsidP="00DE1ED5">
      <w:pPr>
        <w:pStyle w:val="AllowPageBreak"/>
      </w:pPr>
    </w:p>
    <w:p w:rsidR="00000000" w:rsidRPr="00DE1ED5" w:rsidP="00DE1ED5">
      <w:pPr>
        <w:pStyle w:val="Heading1"/>
      </w:pPr>
      <w:bookmarkStart w:id="2" w:name="O_693056"/>
      <w:bookmarkEnd w:id="2"/>
      <w:r w:rsidRPr="00DE1ED5">
        <w:t>Performance Evidence</w:t>
      </w:r>
    </w:p>
    <w:p w:rsidR="00000000" w:rsidRPr="00DE1ED5" w:rsidP="00232DB0">
      <w:pPr>
        <w:pStyle w:val="BodyText"/>
      </w:pPr>
      <w:r w:rsidRPr="00DE1ED5">
        <w:t>Evidence of the ability to:</w:t>
      </w:r>
    </w:p>
    <w:p w:rsidR="00000000" w:rsidRPr="00DE1ED5" w:rsidP="00DE1ED5">
      <w:pPr>
        <w:pStyle w:val="ListBullet"/>
      </w:pPr>
      <w:r w:rsidRPr="00DE1ED5">
        <w:t>compile information on property to b</w:t>
      </w:r>
      <w:r w:rsidRPr="00DE1ED5">
        <w:t>e repossessed</w:t>
      </w:r>
    </w:p>
    <w:p w:rsidR="00000000" w:rsidRPr="00DE1ED5" w:rsidP="00DE1ED5">
      <w:pPr>
        <w:pStyle w:val="ListBullet"/>
      </w:pPr>
      <w:r w:rsidRPr="00DE1ED5">
        <w:t>interpret and comply with legislative requirements, industry code of conduct and organisational policy and procedures when repossessing property</w:t>
      </w:r>
    </w:p>
    <w:p w:rsidR="00000000" w:rsidRPr="00DE1ED5" w:rsidP="00DE1ED5">
      <w:pPr>
        <w:pStyle w:val="ListBullet"/>
      </w:pPr>
      <w:r w:rsidRPr="00DE1ED5">
        <w:t>build and maintain rapport with clients, and liaise and cooperate with debtors and third party ag</w:t>
      </w:r>
      <w:r w:rsidRPr="00DE1ED5">
        <w:t>ents</w:t>
      </w:r>
    </w:p>
    <w:p w:rsidR="00000000" w:rsidRPr="00DE1ED5" w:rsidP="00DE1ED5">
      <w:pPr>
        <w:pStyle w:val="ListBullet"/>
      </w:pPr>
      <w:r w:rsidRPr="00DE1ED5">
        <w:t>negotiate effectively when confronted with problems and difficulties</w:t>
      </w:r>
    </w:p>
    <w:p w:rsidR="00000000" w:rsidRPr="00DE1ED5" w:rsidP="00DE1ED5">
      <w:pPr>
        <w:pStyle w:val="ListBullet"/>
      </w:pPr>
      <w:r w:rsidRPr="00DE1ED5">
        <w:t>complete relevant documentation in accordance with industry and organisational requirements and guidelines.</w:t>
      </w:r>
    </w:p>
    <w:p w:rsidR="00000000" w:rsidRPr="00DE1ED5" w:rsidP="00DE1ED5">
      <w:pPr>
        <w:pStyle w:val="BodyText"/>
      </w:pPr>
    </w:p>
    <w:p w:rsidR="00000000" w:rsidRPr="00DE1ED5" w:rsidP="00232DB0">
      <w:pPr>
        <w:pStyle w:val="BodyText"/>
      </w:pPr>
      <w:r w:rsidRPr="00DE1ED5">
        <w:t>Note: If a specific volume or frequency is not stated, then evidence must be provided at least once.</w:t>
      </w:r>
    </w:p>
    <w:p w:rsidR="00000000" w:rsidRPr="00DE1ED5" w:rsidP="00DE1ED5">
      <w:pPr>
        <w:pStyle w:val="Heading1"/>
      </w:pPr>
      <w:bookmarkStart w:id="3" w:name="O_693057"/>
      <w:bookmarkEnd w:id="3"/>
      <w:r w:rsidRPr="00DE1ED5">
        <w:t>Knowledge Evidence</w:t>
      </w:r>
    </w:p>
    <w:p w:rsidR="00000000" w:rsidRPr="00DE1ED5" w:rsidP="00232DB0">
      <w:pPr>
        <w:pStyle w:val="BodyText"/>
      </w:pPr>
      <w:r w:rsidRPr="00DE1ED5">
        <w:t>To complete the unit requirements safely and effectively, the individual must:</w:t>
      </w:r>
    </w:p>
    <w:p w:rsidR="00000000" w:rsidRPr="00DE1ED5" w:rsidP="00DE1ED5">
      <w:pPr>
        <w:pStyle w:val="ListBullet"/>
      </w:pPr>
      <w:r w:rsidRPr="00DE1ED5">
        <w:t>describe the negotiation process</w:t>
      </w:r>
    </w:p>
    <w:p w:rsidR="00000000" w:rsidRPr="00DE1ED5" w:rsidP="00DE1ED5">
      <w:pPr>
        <w:pStyle w:val="ListBullet"/>
      </w:pPr>
      <w:r w:rsidRPr="00DE1ED5">
        <w:t>outlin</w:t>
      </w:r>
      <w:r w:rsidRPr="00DE1ED5">
        <w:t>e creditor</w:t>
      </w:r>
      <w:r>
        <w:t>’</w:t>
      </w:r>
      <w:r w:rsidRPr="00DE1ED5">
        <w:t>s obligations underpinning credit management functions, and their relationship to mercantile agents</w:t>
      </w:r>
    </w:p>
    <w:p w:rsidR="00000000" w:rsidRPr="00DE1ED5" w:rsidP="00DE1ED5">
      <w:pPr>
        <w:pStyle w:val="ListBullet"/>
      </w:pPr>
      <w:r w:rsidRPr="00DE1ED5">
        <w:t>identify key requirements of relevant state and Commonwealth Acts relating to debt collection and mercantile agents</w:t>
      </w:r>
    </w:p>
    <w:p w:rsidR="00000000" w:rsidRPr="00DE1ED5" w:rsidP="00DE1ED5">
      <w:pPr>
        <w:pStyle w:val="ListBullet"/>
      </w:pPr>
      <w:r w:rsidRPr="00DE1ED5">
        <w:t>explain the business principl</w:t>
      </w:r>
      <w:r w:rsidRPr="00DE1ED5">
        <w:t>es, financial arrangements and legal obligations of:</w:t>
      </w:r>
    </w:p>
    <w:p w:rsidR="00000000" w:rsidRPr="00DE1ED5" w:rsidP="00DE1ED5">
      <w:pPr>
        <w:pStyle w:val="ListBullet2"/>
      </w:pPr>
      <w:r w:rsidRPr="00DE1ED5">
        <w:t>sole traders</w:t>
      </w:r>
    </w:p>
    <w:p w:rsidR="00000000" w:rsidRPr="00DE1ED5" w:rsidP="00DE1ED5">
      <w:pPr>
        <w:pStyle w:val="ListBullet2"/>
      </w:pPr>
      <w:r w:rsidRPr="00DE1ED5">
        <w:t>partnerships</w:t>
      </w:r>
    </w:p>
    <w:p w:rsidR="00000000" w:rsidRPr="00DE1ED5" w:rsidP="00DE1ED5">
      <w:pPr>
        <w:pStyle w:val="ListBullet2"/>
      </w:pPr>
      <w:r w:rsidRPr="00DE1ED5">
        <w:t>companies</w:t>
      </w:r>
    </w:p>
    <w:p w:rsidR="00000000" w:rsidRPr="00DE1ED5" w:rsidP="00DE1ED5">
      <w:pPr>
        <w:pStyle w:val="ListBullet2"/>
      </w:pPr>
      <w:r w:rsidRPr="00DE1ED5">
        <w:t>trusts</w:t>
      </w:r>
    </w:p>
    <w:p w:rsidR="00000000" w:rsidRPr="00DE1ED5" w:rsidP="00DE1ED5">
      <w:pPr>
        <w:pStyle w:val="ListBullet"/>
      </w:pPr>
      <w:r w:rsidRPr="00DE1ED5">
        <w:t>outline the principles and procedures of:</w:t>
      </w:r>
    </w:p>
    <w:p w:rsidR="00000000" w:rsidRPr="00DE1ED5" w:rsidP="00DE1ED5">
      <w:pPr>
        <w:pStyle w:val="ListBullet2"/>
      </w:pPr>
      <w:r w:rsidRPr="00DE1ED5">
        <w:t>repossession</w:t>
      </w:r>
    </w:p>
    <w:p w:rsidR="00000000" w:rsidRPr="00DE1ED5" w:rsidP="00DE1ED5">
      <w:pPr>
        <w:pStyle w:val="ListBullet2"/>
      </w:pPr>
      <w:r w:rsidRPr="00DE1ED5">
        <w:t>notices of intention</w:t>
      </w:r>
    </w:p>
    <w:p w:rsidR="00000000" w:rsidRPr="00DE1ED5" w:rsidP="00DE1ED5">
      <w:pPr>
        <w:pStyle w:val="ListBullet2"/>
      </w:pPr>
      <w:r w:rsidRPr="00DE1ED5">
        <w:t>authority to repossess</w:t>
      </w:r>
    </w:p>
    <w:p w:rsidR="00000000" w:rsidRPr="00DE1ED5" w:rsidP="00DE1ED5">
      <w:pPr>
        <w:pStyle w:val="ListBullet2"/>
      </w:pPr>
      <w:r w:rsidRPr="00DE1ED5">
        <w:t>methods of repossession</w:t>
      </w:r>
    </w:p>
    <w:p w:rsidR="00000000" w:rsidRPr="00DE1ED5" w:rsidP="00DE1ED5">
      <w:pPr>
        <w:pStyle w:val="ListBullet2"/>
      </w:pPr>
      <w:r w:rsidRPr="00DE1ED5">
        <w:t>ethical practices in repossession</w:t>
      </w:r>
    </w:p>
    <w:p w:rsidR="00000000" w:rsidRPr="00DE1ED5" w:rsidP="00DE1ED5">
      <w:pPr>
        <w:pStyle w:val="ListBullet2"/>
      </w:pPr>
      <w:r w:rsidRPr="00DE1ED5">
        <w:t>post-repossession</w:t>
      </w:r>
    </w:p>
    <w:p w:rsidR="00000000" w:rsidRPr="00DE1ED5" w:rsidP="00DE1ED5">
      <w:pPr>
        <w:pStyle w:val="ListBullet"/>
      </w:pPr>
      <w:r w:rsidRPr="00DE1ED5">
        <w:t>describe the principles of association under the Associations Incorporation Reform Act</w:t>
      </w:r>
    </w:p>
    <w:p w:rsidR="00000000" w:rsidRPr="00DE1ED5" w:rsidP="00DE1ED5">
      <w:pPr>
        <w:pStyle w:val="ListBullet"/>
      </w:pPr>
      <w:r w:rsidRPr="00DE1ED5">
        <w:t>outline the role, procedures and relevant documentation of the various relevant court jurisdictions and appeals procedures</w:t>
      </w:r>
    </w:p>
    <w:p w:rsidR="00000000" w:rsidRPr="00DE1ED5" w:rsidP="00DE1ED5">
      <w:pPr>
        <w:pStyle w:val="ListBullet"/>
      </w:pPr>
      <w:r w:rsidRPr="00DE1ED5">
        <w:t>explain securities and loan</w:t>
      </w:r>
      <w:r w:rsidRPr="00DE1ED5">
        <w:t>s principles, specifically factoring, guarantees, indemnity, securities over property, retention of title and liens</w:t>
      </w:r>
    </w:p>
    <w:p w:rsidR="00000000" w:rsidRPr="00DE1ED5" w:rsidP="00DE1ED5">
      <w:pPr>
        <w:pStyle w:val="ListBullet"/>
      </w:pPr>
      <w:r w:rsidRPr="00DE1ED5">
        <w:t>describe techniques of search and locating property to be repossessed.</w:t>
      </w:r>
    </w:p>
    <w:p w:rsidR="00000000" w:rsidRPr="00DE1ED5" w:rsidP="00DE1ED5">
      <w:pPr>
        <w:pStyle w:val="AllowPageBreak"/>
      </w:pPr>
    </w:p>
    <w:p w:rsidR="00000000" w:rsidRPr="00DE1ED5" w:rsidP="00DE1ED5">
      <w:pPr>
        <w:pStyle w:val="Heading1"/>
      </w:pPr>
      <w:bookmarkStart w:id="4" w:name="O_693058"/>
      <w:bookmarkEnd w:id="4"/>
      <w:r w:rsidRPr="00DE1ED5">
        <w:t>Assessment Conditions</w:t>
      </w:r>
    </w:p>
    <w:p w:rsidR="00000000" w:rsidRPr="00DE1ED5" w:rsidP="00232DB0">
      <w:pPr>
        <w:pStyle w:val="BodyText"/>
      </w:pPr>
      <w:r w:rsidRPr="00DE1ED5">
        <w:t>Assessment must be conducted i</w:t>
      </w:r>
      <w:r w:rsidRPr="00DE1ED5">
        <w:t>n a safe environment where evidence gathered demonstrates consistent performance of typical activities experienced in the mercantile agents field of work and include access to:</w:t>
      </w:r>
    </w:p>
    <w:p w:rsidR="00000000" w:rsidRPr="00DE1ED5" w:rsidP="00DE1ED5">
      <w:pPr>
        <w:pStyle w:val="ListBullet"/>
      </w:pPr>
      <w:r w:rsidRPr="00DE1ED5">
        <w:t>office equipment, technology, software and consumables</w:t>
      </w:r>
    </w:p>
    <w:p w:rsidR="00000000" w:rsidRPr="00DE1ED5" w:rsidP="00DE1ED5">
      <w:pPr>
        <w:pStyle w:val="ListBullet"/>
      </w:pPr>
      <w:r w:rsidRPr="00DE1ED5">
        <w:t>relevant legislation and industry codes of practice in the mercantile agent field.</w:t>
      </w:r>
    </w:p>
    <w:p w:rsidR="00000000" w:rsidRPr="00DE1ED5" w:rsidP="00DE1ED5">
      <w:pPr>
        <w:pStyle w:val="BodyText"/>
      </w:pPr>
    </w:p>
    <w:p w:rsidR="00000000" w:rsidRPr="00DE1ED5" w:rsidP="00232DB0">
      <w:pPr>
        <w:pStyle w:val="BodyText"/>
      </w:pPr>
      <w:r w:rsidRPr="00DE1ED5">
        <w:t>Assessors must satisfy NVR/AQTF assessor requirements.</w:t>
      </w:r>
    </w:p>
    <w:p w:rsidR="00000000" w:rsidRPr="00DE1ED5" w:rsidP="00DE1ED5">
      <w:pPr>
        <w:pStyle w:val="Heading1"/>
      </w:pPr>
      <w:bookmarkStart w:id="5" w:name="O_693061"/>
      <w:bookmarkEnd w:id="5"/>
      <w:r w:rsidRPr="00DE1ED5">
        <w:t>Links</w:t>
      </w:r>
    </w:p>
    <w:p w:rsidR="00000000" w:rsidRPr="00DE1ED5" w:rsidP="00232DB0">
      <w:pPr>
        <w:pStyle w:val="BodyText"/>
      </w:pPr>
      <w:r w:rsidRPr="00DE1ED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6A53A5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DE1ED5" w:rsidP="00DE1ED5"/>
    <w:sectPr w:rsidSect="00DE1ED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E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ED5" w:rsidRPr="00232DB0" w:rsidP="00232D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E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DB0" w:rsidP="00DE1E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32DB0" w:rsidP="00DE1E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32DB0" w:rsidP="00DE1E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E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D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1ED5" w:rsidRPr="00232DB0" w:rsidP="00232D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E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DB0" w:rsidRPr="002D2AF8" w:rsidP="00DE1E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FNSMCA302 Repossess property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November 2020</w:t>
    </w:r>
    <w:r>
      <w:fldChar w:fldCharType="end"/>
    </w:r>
  </w:p>
  <w:p w:rsidR="00232DB0" w:rsidP="00DE1E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83ED8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7F8F0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C167F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1E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1E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1E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1E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1E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1E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1E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1E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1E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1E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1E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1ED5"/>
  </w:style>
  <w:style w:type="character" w:customStyle="1" w:styleId="Heading1Char">
    <w:name w:val="Heading 1 Char"/>
    <w:basedOn w:val="DefaultParagraphFont"/>
    <w:link w:val="Heading1"/>
    <w:rsid w:val="00DE1E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1E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1ED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E1ED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E1ED5"/>
    <w:rPr>
      <w:b/>
      <w:spacing w:val="0"/>
    </w:rPr>
  </w:style>
  <w:style w:type="paragraph" w:styleId="ListBullet2">
    <w:name w:val="List Bullet 2"/>
    <w:basedOn w:val="List2"/>
    <w:rsid w:val="00DE1ED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E1E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1E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E1E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1E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1E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1E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1E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1E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1E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1E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1E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1E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1E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1E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1E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1E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1E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1E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1E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1E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1ED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E1E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E1E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1E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1E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E1E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1E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1E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1E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1E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1E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1E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1E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1ED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E1ED5"/>
    <w:rPr>
      <w:i/>
    </w:rPr>
  </w:style>
  <w:style w:type="paragraph" w:styleId="Caption">
    <w:name w:val="caption"/>
    <w:basedOn w:val="BodyText"/>
    <w:next w:val="Normal"/>
    <w:qFormat/>
    <w:rsid w:val="00DE1E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1E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1E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1ED5"/>
  </w:style>
  <w:style w:type="paragraph" w:styleId="TableofFigures">
    <w:name w:val="table of figures"/>
    <w:basedOn w:val="Normal"/>
    <w:next w:val="Normal"/>
    <w:semiHidden/>
    <w:rsid w:val="00DE1E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1ED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E1ED5"/>
    <w:rPr>
      <w:rFonts w:ascii="Wingdings" w:hAnsi="Wingdings"/>
    </w:rPr>
  </w:style>
  <w:style w:type="paragraph" w:customStyle="1" w:styleId="TableHeading">
    <w:name w:val="Table Heading"/>
    <w:basedOn w:val="HeadingBase"/>
    <w:rsid w:val="00DE1E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1ED5"/>
    <w:rPr>
      <w:color w:val="0033CC"/>
      <w:u w:val="none"/>
    </w:rPr>
  </w:style>
  <w:style w:type="paragraph" w:customStyle="1" w:styleId="BodyTextRight">
    <w:name w:val="Body Text Right"/>
    <w:basedOn w:val="BodyText"/>
    <w:rsid w:val="00DE1E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1E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1ED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1E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1E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1E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1ED5"/>
    <w:rPr>
      <w:sz w:val="32"/>
    </w:rPr>
  </w:style>
  <w:style w:type="paragraph" w:customStyle="1" w:styleId="HeadingProcedure">
    <w:name w:val="Heading Procedure"/>
    <w:basedOn w:val="HeadingBase"/>
    <w:next w:val="Normal"/>
    <w:rsid w:val="00DE1E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1ED5"/>
    <w:pPr>
      <w:spacing w:before="60" w:after="60"/>
    </w:pPr>
  </w:style>
  <w:style w:type="paragraph" w:styleId="ListContinue">
    <w:name w:val="List Continue"/>
    <w:basedOn w:val="List"/>
    <w:rsid w:val="00DE1ED5"/>
    <w:pPr>
      <w:ind w:firstLine="0"/>
    </w:pPr>
  </w:style>
  <w:style w:type="paragraph" w:customStyle="1" w:styleId="ListNote">
    <w:name w:val="List Note"/>
    <w:basedOn w:val="List"/>
    <w:rsid w:val="00DE1E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1E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1E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1ED5"/>
    <w:rPr>
      <w:rFonts w:ascii="Courier New" w:hAnsi="Courier New"/>
    </w:rPr>
  </w:style>
  <w:style w:type="paragraph" w:customStyle="1" w:styleId="NoteBullet">
    <w:name w:val="Note Bullet"/>
    <w:basedOn w:val="Note"/>
    <w:rsid w:val="00DE1E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1E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1E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1E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1ED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E1E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1E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1ED5"/>
    <w:rPr>
      <w:b/>
      <w:smallCaps/>
    </w:rPr>
  </w:style>
  <w:style w:type="paragraph" w:customStyle="1" w:styleId="TableListNumber">
    <w:name w:val="Table List Number"/>
    <w:basedOn w:val="ListNumber"/>
    <w:rsid w:val="00DE1E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1E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1ED5"/>
    <w:pPr>
      <w:numPr>
        <w:numId w:val="9"/>
      </w:numPr>
    </w:pPr>
  </w:style>
  <w:style w:type="paragraph" w:customStyle="1" w:styleId="ListAlpha2">
    <w:name w:val="List Alpha 2"/>
    <w:basedOn w:val="List2"/>
    <w:rsid w:val="00DE1ED5"/>
    <w:pPr>
      <w:numPr>
        <w:numId w:val="8"/>
      </w:numPr>
    </w:pPr>
  </w:style>
  <w:style w:type="paragraph" w:styleId="List2">
    <w:name w:val="List 2"/>
    <w:basedOn w:val="BodyText"/>
    <w:rsid w:val="00DE1E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1E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1E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1E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1ED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1ED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E1ED5"/>
    <w:pPr>
      <w:numPr>
        <w:numId w:val="4"/>
      </w:numPr>
    </w:pPr>
  </w:style>
  <w:style w:type="paragraph" w:styleId="ListContinue2">
    <w:name w:val="List Continue 2"/>
    <w:basedOn w:val="List2"/>
    <w:rsid w:val="00DE1ED5"/>
    <w:pPr>
      <w:ind w:firstLine="0"/>
    </w:pPr>
  </w:style>
  <w:style w:type="paragraph" w:styleId="ListContinue3">
    <w:name w:val="List Continue 3"/>
    <w:basedOn w:val="List3"/>
    <w:rsid w:val="00DE1ED5"/>
    <w:pPr>
      <w:ind w:left="1021" w:firstLine="0"/>
    </w:pPr>
  </w:style>
  <w:style w:type="paragraph" w:styleId="ListContinue4">
    <w:name w:val="List Continue 4"/>
    <w:basedOn w:val="List4"/>
    <w:rsid w:val="00DE1ED5"/>
    <w:pPr>
      <w:ind w:firstLine="0"/>
    </w:pPr>
  </w:style>
  <w:style w:type="paragraph" w:styleId="ListContinue5">
    <w:name w:val="List Continue 5"/>
    <w:basedOn w:val="List5"/>
    <w:rsid w:val="00DE1ED5"/>
    <w:pPr>
      <w:ind w:firstLine="0"/>
    </w:pPr>
  </w:style>
  <w:style w:type="paragraph" w:styleId="ListNumber3">
    <w:name w:val="List Number 3"/>
    <w:basedOn w:val="List3"/>
    <w:rsid w:val="00DE1ED5"/>
    <w:pPr>
      <w:numPr>
        <w:numId w:val="5"/>
      </w:numPr>
    </w:pPr>
  </w:style>
  <w:style w:type="paragraph" w:styleId="ListNumber4">
    <w:name w:val="List Number 4"/>
    <w:basedOn w:val="List4"/>
    <w:rsid w:val="00DE1ED5"/>
    <w:pPr>
      <w:numPr>
        <w:numId w:val="6"/>
      </w:numPr>
    </w:pPr>
  </w:style>
  <w:style w:type="paragraph" w:styleId="ListNumber5">
    <w:name w:val="List Number 5"/>
    <w:basedOn w:val="List5"/>
    <w:rsid w:val="00DE1ED5"/>
    <w:pPr>
      <w:numPr>
        <w:numId w:val="7"/>
      </w:numPr>
    </w:pPr>
  </w:style>
  <w:style w:type="paragraph" w:styleId="BlockText">
    <w:name w:val="Block Text"/>
    <w:basedOn w:val="Normal"/>
    <w:rsid w:val="00DE1E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1E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1ED5"/>
    <w:rPr>
      <w:sz w:val="16"/>
      <w:vertAlign w:val="superscript"/>
    </w:rPr>
  </w:style>
  <w:style w:type="character" w:customStyle="1" w:styleId="Symbols">
    <w:name w:val="Symbols"/>
    <w:basedOn w:val="DefaultParagraphFont"/>
    <w:rsid w:val="00DE1ED5"/>
    <w:rPr>
      <w:rFonts w:ascii="Symbol" w:hAnsi="Symbol"/>
    </w:rPr>
  </w:style>
  <w:style w:type="character" w:customStyle="1" w:styleId="MenuOptions">
    <w:name w:val="Menu Options"/>
    <w:basedOn w:val="DefaultParagraphFont"/>
    <w:rsid w:val="00DE1E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1ED5"/>
    <w:rPr>
      <w:b/>
    </w:rPr>
  </w:style>
  <w:style w:type="character" w:customStyle="1" w:styleId="Underlined">
    <w:name w:val="Underlined"/>
    <w:basedOn w:val="DefaultParagraphFont"/>
    <w:rsid w:val="00DE1ED5"/>
    <w:rPr>
      <w:u w:val="single"/>
    </w:rPr>
  </w:style>
  <w:style w:type="paragraph" w:customStyle="1" w:styleId="TableBodyTextRight">
    <w:name w:val="Table Body Text Right"/>
    <w:basedOn w:val="TableBodyText"/>
    <w:rsid w:val="00DE1E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1ED5"/>
    <w:rPr>
      <w:sz w:val="18"/>
    </w:rPr>
  </w:style>
  <w:style w:type="paragraph" w:customStyle="1" w:styleId="BodySmallRight">
    <w:name w:val="Body Small Right"/>
    <w:basedOn w:val="BodyTextRight"/>
    <w:rsid w:val="00DE1ED5"/>
    <w:rPr>
      <w:sz w:val="18"/>
      <w:szCs w:val="18"/>
    </w:rPr>
  </w:style>
  <w:style w:type="paragraph" w:customStyle="1" w:styleId="MarginEdition">
    <w:name w:val="Margin Edition"/>
    <w:basedOn w:val="MarginNote"/>
    <w:rsid w:val="00DE1E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1ED5"/>
    <w:rPr>
      <w:sz w:val="2"/>
      <w:szCs w:val="2"/>
    </w:rPr>
  </w:style>
  <w:style w:type="character" w:customStyle="1" w:styleId="Small">
    <w:name w:val="Small"/>
    <w:basedOn w:val="DefaultParagraphFont"/>
    <w:rsid w:val="00DE1ED5"/>
    <w:rPr>
      <w:sz w:val="16"/>
    </w:rPr>
  </w:style>
  <w:style w:type="paragraph" w:customStyle="1" w:styleId="WideTable">
    <w:name w:val="Wide Table"/>
    <w:basedOn w:val="Normal"/>
    <w:rsid w:val="00DE1E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1ED5"/>
  </w:style>
  <w:style w:type="paragraph" w:styleId="Quote">
    <w:name w:val="Quote"/>
    <w:basedOn w:val="Heading1"/>
    <w:link w:val="QuoteChar"/>
    <w:qFormat/>
    <w:rsid w:val="00DE1E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1E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1ED5"/>
    <w:pPr>
      <w:pageBreakBefore/>
    </w:pPr>
  </w:style>
  <w:style w:type="paragraph" w:customStyle="1" w:styleId="Border">
    <w:name w:val="Border"/>
    <w:basedOn w:val="Normal"/>
    <w:qFormat/>
    <w:rsid w:val="00DE1E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1E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1E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1E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1E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1E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1E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1E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1E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1ED5"/>
    <w:rPr>
      <w:u w:val="single"/>
    </w:rPr>
  </w:style>
  <w:style w:type="character" w:customStyle="1" w:styleId="BoldandItalics">
    <w:name w:val="Bold and Italics"/>
    <w:qFormat/>
    <w:rsid w:val="00DE1ED5"/>
    <w:rPr>
      <w:b/>
      <w:i/>
      <w:u w:val="none"/>
    </w:rPr>
  </w:style>
  <w:style w:type="paragraph" w:styleId="BalloonText">
    <w:name w:val="Balloon Text"/>
    <w:basedOn w:val="Normal"/>
    <w:link w:val="BalloonTextChar"/>
    <w:rsid w:val="00DE1E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1E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1E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1E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1E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1E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1ED5"/>
    <w:pPr>
      <w:spacing w:before="0" w:after="0"/>
    </w:pPr>
  </w:style>
  <w:style w:type="paragraph" w:customStyle="1" w:styleId="BodyTextBold">
    <w:name w:val="Body Text Bold"/>
    <w:basedOn w:val="BodyText"/>
    <w:qFormat/>
    <w:rsid w:val="00DE1ED5"/>
    <w:rPr>
      <w:b/>
    </w:rPr>
  </w:style>
  <w:style w:type="character" w:styleId="Hyperlink">
    <w:name w:val="Hyperlink"/>
    <w:basedOn w:val="DefaultParagraphFont"/>
    <w:uiPriority w:val="99"/>
    <w:unhideWhenUsed/>
    <w:rsid w:val="00232D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339</Words>
  <Characters>2384</Characters>
  <Application>Microsoft Office Word</Application>
  <DocSecurity>0</DocSecurity>
  <Lines>70</Lines>
  <Paragraphs>52</Paragraphs>
  <ScaleCrop>false</ScaleCrop>
  <Company>Author-it Software Corporation Ltd.</Company>
  <LinksUpToDate>false</LinksUpToDate>
  <CharactersWithSpaces>2671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FNSMCA302 Repossess property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2020-11-04T15:01:00Z</dcterms:created>
  <dcterms:modified xsi:type="dcterms:W3CDTF">2020-11-04T15:01:00Z</dcterms:modified>
</cp:coreProperties>
</file>