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C9C" w:rsidP="00484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FNSISV537 Review claims settlement policies and procedures</w:t>
      </w:r>
      <w:r>
        <w:fldChar w:fldCharType="end"/>
      </w:r>
    </w:p>
    <w:p w:rsidR="00484C9C" w:rsidP="00484C9C">
      <w:pPr>
        <w:pStyle w:val="Version"/>
        <w:sectPr w:rsidSect="00DB4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AB5" w:rsidP="00DB4AB5">
      <w:pPr>
        <w:pStyle w:val="SuperHeading"/>
      </w:pPr>
      <w:r w:rsidRPr="00DB4AB5">
        <w:t>Assessment Requirements for FNSISV537 Review claims settlement policies and procedures</w:t>
      </w:r>
    </w:p>
    <w:p w:rsidR="00000000" w:rsidRPr="00DB4AB5" w:rsidP="00DB4AB5">
      <w:pPr>
        <w:pStyle w:val="Heading1"/>
      </w:pPr>
      <w:bookmarkStart w:id="1" w:name="O_1158725"/>
      <w:bookmarkEnd w:id="1"/>
      <w:r w:rsidRPr="00DB4AB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B4A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AB5" w:rsidP="00DB4AB5">
            <w:pPr>
              <w:pStyle w:val="BodyText"/>
            </w:pPr>
            <w:r w:rsidRPr="00DB4AB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AB5">
            <w:pPr>
              <w:pStyle w:val="BodyText"/>
              <w:rPr>
                <w:lang w:val="en-NZ"/>
              </w:rPr>
            </w:pPr>
            <w:r w:rsidRPr="00DB4AB5">
              <w:rPr>
                <w:rStyle w:val="SpecialBold"/>
              </w:rPr>
              <w:t>Comments</w:t>
            </w:r>
          </w:p>
        </w:tc>
      </w:tr>
      <w:tr w:rsidTr="00DB4A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AB5">
            <w:pPr>
              <w:pStyle w:val="BodyText"/>
              <w:rPr>
                <w:lang w:val="en-NZ"/>
              </w:rPr>
            </w:pPr>
            <w:r w:rsidRPr="00DB4AB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AB5" w:rsidP="00DB4AB5">
            <w:pPr>
              <w:pStyle w:val="BodyText"/>
            </w:pPr>
            <w:r w:rsidRPr="00DB4AB5">
              <w:t>This version first released with FNS Financial Services Training Package Version 6.0.</w:t>
            </w:r>
          </w:p>
        </w:tc>
      </w:tr>
    </w:tbl>
    <w:p w:rsidR="00000000" w:rsidRPr="00DB4AB5" w:rsidP="00DB4AB5">
      <w:pPr>
        <w:pStyle w:val="BodyText"/>
      </w:pPr>
    </w:p>
    <w:p w:rsidR="00000000" w:rsidRPr="00DB4AB5" w:rsidP="00DB4AB5">
      <w:pPr>
        <w:pStyle w:val="AllowPageBreak"/>
      </w:pPr>
    </w:p>
    <w:p w:rsidR="00000000" w:rsidRPr="00DB4AB5" w:rsidP="00DB4AB5">
      <w:pPr>
        <w:pStyle w:val="Heading1"/>
      </w:pPr>
      <w:bookmarkStart w:id="2" w:name="O_1158728"/>
      <w:bookmarkEnd w:id="2"/>
      <w:r w:rsidRPr="00DB4AB5">
        <w:t>Performance Evidence</w:t>
      </w:r>
    </w:p>
    <w:p w:rsidR="00000000" w:rsidRPr="00DB4AB5" w:rsidP="00484C9C">
      <w:pPr>
        <w:pStyle w:val="BodyText"/>
      </w:pPr>
      <w:r w:rsidRPr="00DB4AB5">
        <w:t>The candidate must demonstrate the ability to complete the tasks outlined in the elements, performance criteria and foundation skills of this unit, including evidence of the ability to:</w:t>
      </w:r>
    </w:p>
    <w:p w:rsidR="00000000" w:rsidRPr="00DB4AB5" w:rsidP="00DB4AB5">
      <w:pPr>
        <w:pStyle w:val="ListBullet"/>
      </w:pPr>
      <w:r w:rsidRPr="00DB4AB5">
        <w:t>review claims settlement policies and p</w:t>
      </w:r>
      <w:r w:rsidRPr="00DB4AB5">
        <w:t>rocedures for at least two organisational claims risk areas.</w:t>
      </w:r>
    </w:p>
    <w:p w:rsidR="00000000" w:rsidRPr="00DB4AB5" w:rsidP="00DB4AB5">
      <w:pPr>
        <w:pStyle w:val="List"/>
      </w:pPr>
    </w:p>
    <w:p w:rsidR="00000000" w:rsidRPr="00DB4AB5" w:rsidP="00484C9C">
      <w:pPr>
        <w:pStyle w:val="BodyText"/>
      </w:pPr>
      <w:r w:rsidRPr="00DB4AB5">
        <w:t>In the course of the above, the candidate must:</w:t>
      </w:r>
    </w:p>
    <w:p w:rsidR="00000000" w:rsidRPr="00DB4AB5" w:rsidP="00DB4AB5">
      <w:pPr>
        <w:pStyle w:val="ListBullet"/>
      </w:pPr>
      <w:r w:rsidRPr="00DB4AB5">
        <w:t>confirm suggested changes to policies and procedures meet required national and international standards, codes and regulations.</w:t>
      </w:r>
    </w:p>
    <w:p w:rsidR="00000000" w:rsidRPr="00DB4AB5" w:rsidP="00DB4AB5">
      <w:pPr>
        <w:pStyle w:val="AllowPageBreak"/>
      </w:pPr>
    </w:p>
    <w:p w:rsidR="00000000" w:rsidRPr="00DB4AB5" w:rsidP="00DB4AB5">
      <w:pPr>
        <w:pStyle w:val="Heading1"/>
      </w:pPr>
      <w:bookmarkStart w:id="3" w:name="O_1158727"/>
      <w:bookmarkEnd w:id="3"/>
      <w:r w:rsidRPr="00DB4AB5">
        <w:t>Knowledge Evidence</w:t>
      </w:r>
    </w:p>
    <w:p w:rsidR="00000000" w:rsidRPr="00DB4AB5" w:rsidP="00484C9C">
      <w:pPr>
        <w:pStyle w:val="BodyText"/>
      </w:pPr>
      <w:r w:rsidRPr="00DB4AB5">
        <w:t>The candidate must be able to demonstrate knowledge to complete the tasks outlined in the elements, performance criteria and foundation skills of this unit, including knowledge of:</w:t>
      </w:r>
    </w:p>
    <w:p w:rsidR="00000000" w:rsidRPr="00DB4AB5" w:rsidP="00DB4AB5">
      <w:pPr>
        <w:pStyle w:val="ListBullet"/>
      </w:pPr>
      <w:r w:rsidRPr="00DB4AB5">
        <w:t>national and international standards, codes an</w:t>
      </w:r>
      <w:r w:rsidRPr="00DB4AB5">
        <w:t>d regulations relevant to claims settlement policies and procedures, including those stipulated by:</w:t>
      </w:r>
    </w:p>
    <w:p w:rsidR="00000000" w:rsidRPr="00DB4AB5" w:rsidP="00DB4AB5">
      <w:pPr>
        <w:pStyle w:val="ListBullet2"/>
      </w:pPr>
      <w:r w:rsidRPr="00DB4AB5">
        <w:t>Australian Prudential Regulation Authority (APRA)</w:t>
      </w:r>
    </w:p>
    <w:p w:rsidR="00000000" w:rsidRPr="00DB4AB5" w:rsidP="00DB4AB5">
      <w:pPr>
        <w:pStyle w:val="ListBullet2"/>
      </w:pPr>
      <w:r w:rsidRPr="00DB4AB5">
        <w:t>Australian Securities and Investments Commission (ASIC)</w:t>
      </w:r>
    </w:p>
    <w:p w:rsidR="00000000" w:rsidRPr="00DB4AB5" w:rsidP="00DB4AB5">
      <w:pPr>
        <w:pStyle w:val="ListBullet2"/>
      </w:pPr>
      <w:r w:rsidRPr="00DB4AB5">
        <w:t>Australian Transaction Reports and Analysis Centr</w:t>
      </w:r>
      <w:r w:rsidRPr="00DB4AB5">
        <w:t>e (AUSTRAC)</w:t>
      </w:r>
    </w:p>
    <w:p w:rsidR="00000000" w:rsidRPr="00DB4AB5" w:rsidP="00DB4AB5">
      <w:pPr>
        <w:pStyle w:val="ListBullet2"/>
      </w:pPr>
      <w:r w:rsidRPr="00DB4AB5">
        <w:t>International Organization for Standardization (ISO)</w:t>
      </w:r>
    </w:p>
    <w:p w:rsidR="00000000" w:rsidRPr="00DB4AB5" w:rsidP="00DB4AB5">
      <w:pPr>
        <w:pStyle w:val="ListBullet"/>
      </w:pPr>
      <w:r w:rsidRPr="00DB4AB5">
        <w:t>key features and types of organisational claims settlement policies, procedures and guidelines</w:t>
      </w:r>
    </w:p>
    <w:p w:rsidR="00000000" w:rsidRPr="00DB4AB5" w:rsidP="00DB4AB5">
      <w:pPr>
        <w:pStyle w:val="ListBullet"/>
      </w:pPr>
      <w:r w:rsidRPr="00DB4AB5">
        <w:t>documentation requirements of claims settlement policies, procedures and guidelines</w:t>
      </w:r>
    </w:p>
    <w:p w:rsidR="00000000" w:rsidRPr="00DB4AB5" w:rsidP="00DB4AB5">
      <w:pPr>
        <w:pStyle w:val="ListBullet"/>
      </w:pPr>
      <w:r w:rsidRPr="00DB4AB5">
        <w:t>key aspects of working with data relevant to analysing claims settlement trends, including:</w:t>
      </w:r>
    </w:p>
    <w:p w:rsidR="00000000" w:rsidRPr="00DB4AB5" w:rsidP="00DB4AB5">
      <w:pPr>
        <w:pStyle w:val="ListBullet2"/>
      </w:pPr>
      <w:r w:rsidRPr="00DB4AB5">
        <w:t>approaches to data collection design and gathering</w:t>
      </w:r>
    </w:p>
    <w:p w:rsidR="00000000" w:rsidRPr="00DB4AB5" w:rsidP="00DB4AB5">
      <w:pPr>
        <w:pStyle w:val="ListBullet2"/>
      </w:pPr>
      <w:r w:rsidRPr="00DB4AB5">
        <w:t>sources used to obtain data on industry claims settlement trends</w:t>
      </w:r>
    </w:p>
    <w:p w:rsidR="00000000" w:rsidRPr="00DB4AB5" w:rsidP="00DB4AB5">
      <w:pPr>
        <w:pStyle w:val="ListBullet2"/>
      </w:pPr>
      <w:r w:rsidRPr="00DB4AB5">
        <w:t>methods for comparing organisational data again</w:t>
      </w:r>
      <w:r w:rsidRPr="00DB4AB5">
        <w:t>st industry benchmark data</w:t>
      </w:r>
    </w:p>
    <w:p w:rsidR="00000000" w:rsidRPr="00DB4AB5" w:rsidP="00DB4AB5">
      <w:pPr>
        <w:pStyle w:val="ListBullet"/>
      </w:pPr>
      <w:r w:rsidRPr="00DB4AB5">
        <w:t>key methods for improving claims settlement policies and procedures</w:t>
      </w:r>
    </w:p>
    <w:p w:rsidR="00000000" w:rsidRPr="00DB4AB5" w:rsidP="00DB4AB5">
      <w:pPr>
        <w:pStyle w:val="ListBullet"/>
      </w:pPr>
      <w:r w:rsidRPr="00DB4AB5">
        <w:t>key aspects of recommendations reports and report writing</w:t>
      </w:r>
    </w:p>
    <w:p w:rsidR="00000000" w:rsidRPr="00DB4AB5" w:rsidP="00DB4AB5">
      <w:pPr>
        <w:pStyle w:val="ListBullet"/>
      </w:pPr>
      <w:r w:rsidRPr="00DB4AB5">
        <w:t>key impacts of ineffective claims settlement policies and procedures</w:t>
      </w:r>
    </w:p>
    <w:p w:rsidR="00000000" w:rsidRPr="00DB4AB5" w:rsidP="00DB4AB5">
      <w:pPr>
        <w:pStyle w:val="ListBullet"/>
      </w:pPr>
      <w:r w:rsidRPr="00DB4AB5">
        <w:t>techniques to analyse information</w:t>
      </w:r>
      <w:r w:rsidRPr="00DB4AB5">
        <w:t>, costs and values and determine trends.</w:t>
      </w:r>
    </w:p>
    <w:p w:rsidR="00000000" w:rsidRPr="00DB4AB5" w:rsidP="00DB4AB5">
      <w:pPr>
        <w:pStyle w:val="AllowPageBreak"/>
      </w:pPr>
    </w:p>
    <w:p w:rsidR="00000000" w:rsidRPr="00DB4AB5" w:rsidP="00DB4AB5">
      <w:pPr>
        <w:pStyle w:val="Heading1"/>
      </w:pPr>
      <w:bookmarkStart w:id="4" w:name="O_1158726"/>
      <w:bookmarkEnd w:id="4"/>
      <w:r w:rsidRPr="00DB4AB5">
        <w:t>Assessment Conditions</w:t>
      </w:r>
    </w:p>
    <w:p w:rsidR="00000000" w:rsidRPr="00DB4AB5" w:rsidP="00484C9C">
      <w:pPr>
        <w:pStyle w:val="BodyText"/>
      </w:pPr>
      <w:r w:rsidRPr="00DB4AB5">
        <w:t xml:space="preserve">Skills in this unit must be demonstrated in a workplace or simulated environment where the conditions are typical of those in a working environment in this industry. </w:t>
      </w:r>
    </w:p>
    <w:p w:rsidR="00000000" w:rsidRPr="00DB4AB5" w:rsidP="00484C9C">
      <w:pPr>
        <w:pStyle w:val="BodyText"/>
      </w:pPr>
      <w:r w:rsidRPr="00DB4AB5">
        <w:t>This in</w:t>
      </w:r>
      <w:r w:rsidRPr="00DB4AB5">
        <w:t>cludes access to:</w:t>
      </w:r>
    </w:p>
    <w:p w:rsidR="00000000" w:rsidRPr="00DB4AB5" w:rsidP="00DB4AB5">
      <w:pPr>
        <w:pStyle w:val="ListBullet"/>
      </w:pPr>
      <w:r w:rsidRPr="00DB4AB5">
        <w:t>organisational records</w:t>
      </w:r>
    </w:p>
    <w:p w:rsidR="00000000" w:rsidRPr="00DB4AB5" w:rsidP="00DB4AB5">
      <w:pPr>
        <w:pStyle w:val="ListBullet"/>
      </w:pPr>
      <w:r w:rsidRPr="00DB4AB5">
        <w:t>organisational policies, procedures, legislation, codes, standards and regulations relating to contracts of insurance</w:t>
      </w:r>
    </w:p>
    <w:p w:rsidR="00000000" w:rsidRPr="00DB4AB5" w:rsidP="00DB4AB5">
      <w:pPr>
        <w:pStyle w:val="ListBullet"/>
      </w:pPr>
      <w:r w:rsidRPr="00DB4AB5">
        <w:t>a range of common technology and software.</w:t>
      </w:r>
    </w:p>
    <w:p w:rsidR="00000000" w:rsidRPr="00DB4AB5" w:rsidP="00DB4AB5">
      <w:pPr>
        <w:pStyle w:val="List"/>
      </w:pPr>
    </w:p>
    <w:p w:rsidR="00000000" w:rsidRPr="00DB4AB5" w:rsidP="00484C9C">
      <w:pPr>
        <w:pStyle w:val="BodyText"/>
      </w:pPr>
      <w:r w:rsidRPr="00DB4AB5">
        <w:t>Assessors of this unit must satisfy the requirements for assessors in applicable vocational education and training legislation, frameworks and/or standards.</w:t>
      </w:r>
    </w:p>
    <w:p w:rsidR="00000000" w:rsidRPr="00DB4AB5" w:rsidP="00DB4AB5">
      <w:pPr>
        <w:pStyle w:val="Heading1"/>
      </w:pPr>
      <w:bookmarkStart w:id="5" w:name="O_1158724"/>
      <w:bookmarkEnd w:id="5"/>
      <w:r w:rsidRPr="00DB4AB5">
        <w:t>Links</w:t>
      </w:r>
    </w:p>
    <w:p w:rsidR="00000000" w:rsidRPr="00DB4AB5" w:rsidP="00484C9C">
      <w:pPr>
        <w:pStyle w:val="BodyText"/>
      </w:pPr>
      <w:r w:rsidRPr="00DB4A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2D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B4AB5" w:rsidP="00DB4AB5"/>
    <w:sectPr w:rsidSect="00DB4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B5" w:rsidRPr="00484C9C" w:rsidP="00484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9C" w:rsidP="00DB4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4C9C" w:rsidP="00DB4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4C9C" w:rsidP="00DB4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AB5" w:rsidRPr="00484C9C" w:rsidP="00484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C9C" w:rsidRPr="002D2AF8" w:rsidP="00DB4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FNSISV537 Review claims settlement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84C9C" w:rsidP="00DB4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3EA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07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CA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AB5"/>
  </w:style>
  <w:style w:type="character" w:customStyle="1" w:styleId="Heading1Char">
    <w:name w:val="Heading 1 Char"/>
    <w:basedOn w:val="DefaultParagraphFont"/>
    <w:link w:val="Heading1"/>
    <w:rsid w:val="00DB4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A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4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4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AB5"/>
    <w:rPr>
      <w:b/>
      <w:spacing w:val="0"/>
    </w:rPr>
  </w:style>
  <w:style w:type="paragraph" w:styleId="ListBullet2">
    <w:name w:val="List Bullet 2"/>
    <w:basedOn w:val="List2"/>
    <w:rsid w:val="00DB4A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4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4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A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4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AB5"/>
    <w:rPr>
      <w:i/>
    </w:rPr>
  </w:style>
  <w:style w:type="paragraph" w:styleId="Caption">
    <w:name w:val="caption"/>
    <w:basedOn w:val="BodyText"/>
    <w:next w:val="Normal"/>
    <w:qFormat/>
    <w:rsid w:val="00DB4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AB5"/>
  </w:style>
  <w:style w:type="paragraph" w:styleId="TableofFigures">
    <w:name w:val="table of figures"/>
    <w:basedOn w:val="Normal"/>
    <w:next w:val="Normal"/>
    <w:semiHidden/>
    <w:rsid w:val="00DB4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A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AB5"/>
    <w:rPr>
      <w:rFonts w:ascii="Wingdings" w:hAnsi="Wingdings"/>
    </w:rPr>
  </w:style>
  <w:style w:type="paragraph" w:customStyle="1" w:styleId="TableHeading">
    <w:name w:val="Table Heading"/>
    <w:basedOn w:val="HeadingBase"/>
    <w:rsid w:val="00DB4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AB5"/>
    <w:rPr>
      <w:color w:val="0033CC"/>
      <w:u w:val="none"/>
    </w:rPr>
  </w:style>
  <w:style w:type="paragraph" w:customStyle="1" w:styleId="BodyTextRight">
    <w:name w:val="Body Text Right"/>
    <w:basedOn w:val="BodyText"/>
    <w:rsid w:val="00DB4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A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AB5"/>
    <w:rPr>
      <w:sz w:val="32"/>
    </w:rPr>
  </w:style>
  <w:style w:type="paragraph" w:customStyle="1" w:styleId="HeadingProcedure">
    <w:name w:val="Heading Procedure"/>
    <w:basedOn w:val="HeadingBase"/>
    <w:next w:val="Normal"/>
    <w:rsid w:val="00DB4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AB5"/>
    <w:pPr>
      <w:spacing w:before="60" w:after="60"/>
    </w:pPr>
  </w:style>
  <w:style w:type="paragraph" w:styleId="ListContinue">
    <w:name w:val="List Continue"/>
    <w:basedOn w:val="List"/>
    <w:rsid w:val="00DB4AB5"/>
    <w:pPr>
      <w:ind w:firstLine="0"/>
    </w:pPr>
  </w:style>
  <w:style w:type="paragraph" w:customStyle="1" w:styleId="ListNote">
    <w:name w:val="List Note"/>
    <w:basedOn w:val="List"/>
    <w:rsid w:val="00DB4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AB5"/>
    <w:rPr>
      <w:rFonts w:ascii="Courier New" w:hAnsi="Courier New"/>
    </w:rPr>
  </w:style>
  <w:style w:type="paragraph" w:customStyle="1" w:styleId="NoteBullet">
    <w:name w:val="Note Bullet"/>
    <w:basedOn w:val="Note"/>
    <w:rsid w:val="00DB4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AB5"/>
    <w:rPr>
      <w:b/>
      <w:smallCaps/>
    </w:rPr>
  </w:style>
  <w:style w:type="paragraph" w:customStyle="1" w:styleId="TableListNumber">
    <w:name w:val="Table List Number"/>
    <w:basedOn w:val="ListNumber"/>
    <w:rsid w:val="00DB4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AB5"/>
    <w:pPr>
      <w:numPr>
        <w:numId w:val="9"/>
      </w:numPr>
    </w:pPr>
  </w:style>
  <w:style w:type="paragraph" w:customStyle="1" w:styleId="ListAlpha2">
    <w:name w:val="List Alpha 2"/>
    <w:basedOn w:val="List2"/>
    <w:rsid w:val="00DB4AB5"/>
    <w:pPr>
      <w:numPr>
        <w:numId w:val="8"/>
      </w:numPr>
    </w:pPr>
  </w:style>
  <w:style w:type="paragraph" w:styleId="List2">
    <w:name w:val="List 2"/>
    <w:basedOn w:val="BodyText"/>
    <w:rsid w:val="00DB4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A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AB5"/>
    <w:pPr>
      <w:numPr>
        <w:numId w:val="4"/>
      </w:numPr>
    </w:pPr>
  </w:style>
  <w:style w:type="paragraph" w:styleId="ListContinue2">
    <w:name w:val="List Continue 2"/>
    <w:basedOn w:val="List2"/>
    <w:rsid w:val="00DB4AB5"/>
    <w:pPr>
      <w:ind w:firstLine="0"/>
    </w:pPr>
  </w:style>
  <w:style w:type="paragraph" w:styleId="ListContinue3">
    <w:name w:val="List Continue 3"/>
    <w:basedOn w:val="List3"/>
    <w:rsid w:val="00DB4AB5"/>
    <w:pPr>
      <w:ind w:left="1021" w:firstLine="0"/>
    </w:pPr>
  </w:style>
  <w:style w:type="paragraph" w:styleId="ListContinue4">
    <w:name w:val="List Continue 4"/>
    <w:basedOn w:val="List4"/>
    <w:rsid w:val="00DB4AB5"/>
    <w:pPr>
      <w:ind w:firstLine="0"/>
    </w:pPr>
  </w:style>
  <w:style w:type="paragraph" w:styleId="ListContinue5">
    <w:name w:val="List Continue 5"/>
    <w:basedOn w:val="List5"/>
    <w:rsid w:val="00DB4AB5"/>
    <w:pPr>
      <w:ind w:firstLine="0"/>
    </w:pPr>
  </w:style>
  <w:style w:type="paragraph" w:styleId="ListNumber3">
    <w:name w:val="List Number 3"/>
    <w:basedOn w:val="List3"/>
    <w:rsid w:val="00DB4AB5"/>
    <w:pPr>
      <w:numPr>
        <w:numId w:val="5"/>
      </w:numPr>
    </w:pPr>
  </w:style>
  <w:style w:type="paragraph" w:styleId="ListNumber4">
    <w:name w:val="List Number 4"/>
    <w:basedOn w:val="List4"/>
    <w:rsid w:val="00DB4AB5"/>
    <w:pPr>
      <w:numPr>
        <w:numId w:val="6"/>
      </w:numPr>
    </w:pPr>
  </w:style>
  <w:style w:type="paragraph" w:styleId="ListNumber5">
    <w:name w:val="List Number 5"/>
    <w:basedOn w:val="List5"/>
    <w:rsid w:val="00DB4AB5"/>
    <w:pPr>
      <w:numPr>
        <w:numId w:val="7"/>
      </w:numPr>
    </w:pPr>
  </w:style>
  <w:style w:type="paragraph" w:styleId="BlockText">
    <w:name w:val="Block Text"/>
    <w:basedOn w:val="Normal"/>
    <w:rsid w:val="00DB4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AB5"/>
    <w:rPr>
      <w:sz w:val="16"/>
      <w:vertAlign w:val="superscript"/>
    </w:rPr>
  </w:style>
  <w:style w:type="character" w:customStyle="1" w:styleId="Symbols">
    <w:name w:val="Symbols"/>
    <w:basedOn w:val="DefaultParagraphFont"/>
    <w:rsid w:val="00DB4AB5"/>
    <w:rPr>
      <w:rFonts w:ascii="Symbol" w:hAnsi="Symbol"/>
    </w:rPr>
  </w:style>
  <w:style w:type="character" w:customStyle="1" w:styleId="MenuOptions">
    <w:name w:val="Menu Options"/>
    <w:basedOn w:val="DefaultParagraphFont"/>
    <w:rsid w:val="00DB4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AB5"/>
    <w:rPr>
      <w:b/>
    </w:rPr>
  </w:style>
  <w:style w:type="character" w:customStyle="1" w:styleId="Underlined">
    <w:name w:val="Underlined"/>
    <w:basedOn w:val="DefaultParagraphFont"/>
    <w:rsid w:val="00DB4AB5"/>
    <w:rPr>
      <w:u w:val="single"/>
    </w:rPr>
  </w:style>
  <w:style w:type="paragraph" w:customStyle="1" w:styleId="TableBodyTextRight">
    <w:name w:val="Table Body Text Right"/>
    <w:basedOn w:val="TableBodyText"/>
    <w:rsid w:val="00DB4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AB5"/>
    <w:rPr>
      <w:sz w:val="18"/>
    </w:rPr>
  </w:style>
  <w:style w:type="paragraph" w:customStyle="1" w:styleId="BodySmallRight">
    <w:name w:val="Body Small Right"/>
    <w:basedOn w:val="BodyTextRight"/>
    <w:rsid w:val="00DB4AB5"/>
    <w:rPr>
      <w:sz w:val="18"/>
      <w:szCs w:val="18"/>
    </w:rPr>
  </w:style>
  <w:style w:type="paragraph" w:customStyle="1" w:styleId="MarginEdition">
    <w:name w:val="Margin Edition"/>
    <w:basedOn w:val="MarginNote"/>
    <w:rsid w:val="00DB4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AB5"/>
    <w:rPr>
      <w:sz w:val="2"/>
      <w:szCs w:val="2"/>
    </w:rPr>
  </w:style>
  <w:style w:type="character" w:customStyle="1" w:styleId="Small">
    <w:name w:val="Small"/>
    <w:basedOn w:val="DefaultParagraphFont"/>
    <w:rsid w:val="00DB4AB5"/>
    <w:rPr>
      <w:sz w:val="16"/>
    </w:rPr>
  </w:style>
  <w:style w:type="paragraph" w:customStyle="1" w:styleId="WideTable">
    <w:name w:val="Wide Table"/>
    <w:basedOn w:val="Normal"/>
    <w:rsid w:val="00DB4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AB5"/>
  </w:style>
  <w:style w:type="paragraph" w:styleId="Quote">
    <w:name w:val="Quote"/>
    <w:basedOn w:val="Heading1"/>
    <w:link w:val="QuoteChar"/>
    <w:qFormat/>
    <w:rsid w:val="00DB4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AB5"/>
    <w:pPr>
      <w:pageBreakBefore/>
    </w:pPr>
  </w:style>
  <w:style w:type="paragraph" w:customStyle="1" w:styleId="Border">
    <w:name w:val="Border"/>
    <w:basedOn w:val="Normal"/>
    <w:qFormat/>
    <w:rsid w:val="00DB4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AB5"/>
    <w:rPr>
      <w:u w:val="single"/>
    </w:rPr>
  </w:style>
  <w:style w:type="character" w:customStyle="1" w:styleId="BoldandItalics">
    <w:name w:val="Bold and Italics"/>
    <w:qFormat/>
    <w:rsid w:val="00DB4AB5"/>
    <w:rPr>
      <w:b/>
      <w:i/>
      <w:u w:val="none"/>
    </w:rPr>
  </w:style>
  <w:style w:type="paragraph" w:styleId="BalloonText">
    <w:name w:val="Balloon Text"/>
    <w:basedOn w:val="Normal"/>
    <w:link w:val="BalloonTextChar"/>
    <w:rsid w:val="00DB4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AB5"/>
    <w:pPr>
      <w:spacing w:before="0" w:after="0"/>
    </w:pPr>
  </w:style>
  <w:style w:type="paragraph" w:customStyle="1" w:styleId="BodyTextBold">
    <w:name w:val="Body Text Bold"/>
    <w:basedOn w:val="BodyText"/>
    <w:qFormat/>
    <w:rsid w:val="00DB4AB5"/>
    <w:rPr>
      <w:b/>
    </w:rPr>
  </w:style>
  <w:style w:type="character" w:styleId="Hyperlink">
    <w:name w:val="Hyperlink"/>
    <w:basedOn w:val="DefaultParagraphFont"/>
    <w:uiPriority w:val="99"/>
    <w:unhideWhenUsed/>
    <w:rsid w:val="00484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2601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FNSISV537 Review claims settlement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