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D48" w:rsidP="00A83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FNSISV521 Settle non-routine and complex insurance claims</w:t>
      </w:r>
      <w:r>
        <w:fldChar w:fldCharType="end"/>
      </w:r>
    </w:p>
    <w:p w:rsidR="00A83D48" w:rsidP="00A83D48">
      <w:pPr>
        <w:pStyle w:val="Version"/>
        <w:sectPr w:rsidSect="009C6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A54" w:rsidP="009C6A54">
      <w:pPr>
        <w:pStyle w:val="SuperHeading"/>
      </w:pPr>
      <w:r w:rsidRPr="009C6A54">
        <w:t>Assessment Requirements for FNSISV521 Settle non-routine and complex insurance claims</w:t>
      </w:r>
    </w:p>
    <w:p w:rsidR="00000000" w:rsidRPr="009C6A54" w:rsidP="009C6A54">
      <w:pPr>
        <w:pStyle w:val="Heading1"/>
      </w:pPr>
      <w:bookmarkStart w:id="1" w:name="O_1133220"/>
      <w:bookmarkEnd w:id="1"/>
      <w:r w:rsidRPr="009C6A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54" w:rsidP="009C6A54">
            <w:pPr>
              <w:pStyle w:val="BodyText"/>
            </w:pPr>
            <w:r w:rsidRPr="009C6A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54">
            <w:pPr>
              <w:pStyle w:val="BodyText"/>
              <w:rPr>
                <w:lang w:val="en-NZ"/>
              </w:rPr>
            </w:pPr>
            <w:r w:rsidRPr="009C6A54">
              <w:rPr>
                <w:rStyle w:val="SpecialBold"/>
              </w:rPr>
              <w:t>Comments</w:t>
            </w:r>
          </w:p>
        </w:tc>
      </w:tr>
      <w:tr w:rsidTr="009C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54">
            <w:pPr>
              <w:pStyle w:val="BodyText"/>
              <w:rPr>
                <w:lang w:val="en-NZ"/>
              </w:rPr>
            </w:pPr>
            <w:r w:rsidRPr="009C6A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54" w:rsidP="009C6A54">
            <w:pPr>
              <w:pStyle w:val="BodyText"/>
            </w:pPr>
            <w:r w:rsidRPr="009C6A54">
              <w:t>This version first released with FNS Financial Services Training Package Version 5.0.</w:t>
            </w:r>
          </w:p>
        </w:tc>
      </w:tr>
    </w:tbl>
    <w:p w:rsidR="00000000" w:rsidRPr="009C6A54" w:rsidP="009C6A54">
      <w:pPr>
        <w:pStyle w:val="BodyText"/>
      </w:pPr>
    </w:p>
    <w:p w:rsidR="00000000" w:rsidRPr="009C6A54" w:rsidP="009C6A54">
      <w:pPr>
        <w:pStyle w:val="AllowPageBreak"/>
      </w:pPr>
    </w:p>
    <w:p w:rsidR="00000000" w:rsidRPr="009C6A54" w:rsidP="009C6A54">
      <w:pPr>
        <w:pStyle w:val="Heading1"/>
      </w:pPr>
      <w:bookmarkStart w:id="2" w:name="O_1133223"/>
      <w:bookmarkEnd w:id="2"/>
      <w:r w:rsidRPr="009C6A54">
        <w:t>Performance Evidence</w:t>
      </w:r>
    </w:p>
    <w:p w:rsidR="00000000" w:rsidRPr="009C6A54" w:rsidP="00A83D48">
      <w:pPr>
        <w:pStyle w:val="BodyText"/>
      </w:pPr>
      <w:r w:rsidRPr="009C6A54">
        <w:t>The candidate must demonstrate the ability to complete the tasks outlined in the elements, performance criteria and foundation skills of this unit, including evidence of the ability to:</w:t>
      </w:r>
    </w:p>
    <w:p w:rsidR="00000000" w:rsidRPr="009C6A54" w:rsidP="009C6A54">
      <w:pPr>
        <w:pStyle w:val="ListBullet"/>
      </w:pPr>
      <w:r w:rsidRPr="009C6A54">
        <w:t>settle at least one non-routine and com</w:t>
      </w:r>
      <w:r w:rsidRPr="009C6A54">
        <w:t>plex insurance claim.</w:t>
      </w:r>
    </w:p>
    <w:p w:rsidR="00000000" w:rsidRPr="009C6A54" w:rsidP="009C6A54">
      <w:pPr>
        <w:pStyle w:val="List"/>
      </w:pPr>
    </w:p>
    <w:p w:rsidR="00000000" w:rsidRPr="009C6A54" w:rsidP="00A83D48">
      <w:pPr>
        <w:pStyle w:val="BodyText"/>
      </w:pPr>
      <w:r w:rsidRPr="009C6A54">
        <w:t>In the course of the above, the candidate must:</w:t>
      </w:r>
    </w:p>
    <w:p w:rsidR="00000000" w:rsidRPr="009C6A54" w:rsidP="009C6A54">
      <w:pPr>
        <w:pStyle w:val="ListBullet"/>
      </w:pPr>
      <w:r w:rsidRPr="009C6A54">
        <w:t>document revised terms of claim based on review of non-routine claims and communicate to required parties</w:t>
      </w:r>
    </w:p>
    <w:p w:rsidR="00000000" w:rsidRPr="009C6A54" w:rsidP="009C6A54">
      <w:pPr>
        <w:pStyle w:val="ListBullet"/>
      </w:pPr>
      <w:r w:rsidRPr="009C6A54">
        <w:t>recommend modifications or report on potential changes to organisat</w:t>
      </w:r>
      <w:r w:rsidRPr="009C6A54">
        <w:t>ional policies and procedures to protect the organisation from future losses.</w:t>
      </w:r>
    </w:p>
    <w:p w:rsidR="00000000" w:rsidRPr="009C6A54" w:rsidP="009C6A54">
      <w:pPr>
        <w:pStyle w:val="AllowPageBreak"/>
      </w:pPr>
    </w:p>
    <w:p w:rsidR="00000000" w:rsidRPr="009C6A54" w:rsidP="009C6A54">
      <w:pPr>
        <w:pStyle w:val="Heading1"/>
      </w:pPr>
      <w:bookmarkStart w:id="3" w:name="O_1133222"/>
      <w:bookmarkEnd w:id="3"/>
      <w:r w:rsidRPr="009C6A54">
        <w:t>Knowledge Evidence</w:t>
      </w:r>
    </w:p>
    <w:p w:rsidR="00000000" w:rsidRPr="009C6A54" w:rsidP="00A83D48">
      <w:pPr>
        <w:pStyle w:val="BodyText"/>
      </w:pPr>
      <w:r w:rsidRPr="009C6A54">
        <w:t>The candidate must be able to demonstrate knowledge to complete the tasks outlined in the elements, performance criteria and foundation skil</w:t>
      </w:r>
      <w:r w:rsidRPr="009C6A54">
        <w:t>ls of this unit, including knowledge of:</w:t>
      </w:r>
    </w:p>
    <w:p w:rsidR="00000000" w:rsidRPr="009C6A54" w:rsidP="009C6A54">
      <w:pPr>
        <w:pStyle w:val="ListBullet"/>
      </w:pPr>
      <w:r w:rsidRPr="009C6A54">
        <w:t>legislative requirements, regulatory guidelines and industry sector compliance requirements and codes of practice as they apply to:</w:t>
      </w:r>
    </w:p>
    <w:p w:rsidR="00000000" w:rsidRPr="009C6A54" w:rsidP="009C6A54">
      <w:pPr>
        <w:pStyle w:val="ListBullet2"/>
      </w:pPr>
      <w:r w:rsidRPr="009C6A54">
        <w:t>insurance contracts</w:t>
      </w:r>
    </w:p>
    <w:p w:rsidR="00000000" w:rsidRPr="009C6A54" w:rsidP="009C6A54">
      <w:pPr>
        <w:pStyle w:val="ListBullet2"/>
      </w:pPr>
      <w:r w:rsidRPr="009C6A54">
        <w:t>insurance claims</w:t>
      </w:r>
    </w:p>
    <w:p w:rsidR="00000000" w:rsidRPr="009C6A54" w:rsidP="009C6A54">
      <w:pPr>
        <w:pStyle w:val="ListBullet2"/>
      </w:pPr>
      <w:r w:rsidRPr="009C6A54">
        <w:t>consumer protection</w:t>
      </w:r>
    </w:p>
    <w:p w:rsidR="00000000" w:rsidRPr="009C6A54" w:rsidP="009C6A54">
      <w:pPr>
        <w:pStyle w:val="ListBullet2"/>
      </w:pPr>
      <w:r w:rsidRPr="009C6A54">
        <w:t>Anti-Money Laundering an</w:t>
      </w:r>
      <w:r w:rsidRPr="009C6A54">
        <w:t>d Counter-Terrorism Financing (AML/CTF) Act and Austrac</w:t>
      </w:r>
    </w:p>
    <w:p w:rsidR="00000000" w:rsidRPr="009C6A54" w:rsidP="009C6A54">
      <w:pPr>
        <w:pStyle w:val="ListBullet"/>
      </w:pPr>
      <w:r w:rsidRPr="009C6A54">
        <w:t>organisational policies, procedures, codes of practice, insurance guidelines, levels of authority and accountabilities required to settle non-routine and complex insurance claims</w:t>
      </w:r>
    </w:p>
    <w:p w:rsidR="00000000" w:rsidRPr="009C6A54" w:rsidP="009C6A54">
      <w:pPr>
        <w:pStyle w:val="ListBullet"/>
      </w:pPr>
      <w:r w:rsidRPr="009C6A54">
        <w:t>dispute resolution bodies relevant to claim, and procedures for interacting with them</w:t>
      </w:r>
    </w:p>
    <w:p w:rsidR="00000000" w:rsidRPr="009C6A54" w:rsidP="009C6A54">
      <w:pPr>
        <w:pStyle w:val="ListBullet"/>
      </w:pPr>
      <w:r w:rsidRPr="009C6A54">
        <w:t>key features of financial transactions and settlement documentation</w:t>
      </w:r>
    </w:p>
    <w:p w:rsidR="00000000" w:rsidRPr="009C6A54" w:rsidP="009C6A54">
      <w:pPr>
        <w:pStyle w:val="ListBullet"/>
      </w:pPr>
      <w:r w:rsidRPr="009C6A54">
        <w:t>level and conditions at which claims should be escalated</w:t>
      </w:r>
    </w:p>
    <w:p w:rsidR="00000000" w:rsidRPr="009C6A54" w:rsidP="009C6A54">
      <w:pPr>
        <w:pStyle w:val="ListBullet"/>
      </w:pPr>
      <w:r w:rsidRPr="009C6A54">
        <w:t>procedures for applying legal precedents to d</w:t>
      </w:r>
      <w:r w:rsidRPr="009C6A54">
        <w:t>etermine and negotiate terms and conditions of settlement</w:t>
      </w:r>
    </w:p>
    <w:p w:rsidR="00000000" w:rsidRPr="009C6A54" w:rsidP="009C6A54">
      <w:pPr>
        <w:pStyle w:val="ListBullet"/>
      </w:pPr>
      <w:r w:rsidRPr="009C6A54">
        <w:t>organisational business objectives relating to settling non-routine and complex insurance claims</w:t>
      </w:r>
    </w:p>
    <w:p w:rsidR="00000000" w:rsidRPr="009C6A54" w:rsidP="009C6A54">
      <w:pPr>
        <w:pStyle w:val="ListBullet"/>
      </w:pPr>
      <w:r w:rsidRPr="009C6A54">
        <w:t>roles, responsibilities and jurisdiction of specialists and other authorities relevant to settling no</w:t>
      </w:r>
      <w:r w:rsidRPr="009C6A54">
        <w:t>n-routine and complex insurance claims</w:t>
      </w:r>
    </w:p>
    <w:p w:rsidR="00000000" w:rsidRPr="009C6A54" w:rsidP="009C6A54">
      <w:pPr>
        <w:pStyle w:val="ListBullet"/>
      </w:pPr>
      <w:r w:rsidRPr="009C6A54">
        <w:t>insurance fundamentals and methods to interpret, comprehend and apply policy wording, including rights of subrogation</w:t>
      </w:r>
    </w:p>
    <w:p w:rsidR="00000000" w:rsidRPr="009C6A54" w:rsidP="009C6A54">
      <w:pPr>
        <w:pStyle w:val="ListBullet"/>
      </w:pPr>
      <w:r w:rsidRPr="009C6A54">
        <w:t>types and categories of insurance policies and insurance trends in non-routine and complex insuranc</w:t>
      </w:r>
      <w:r w:rsidRPr="009C6A54">
        <w:t>e claims.</w:t>
      </w:r>
    </w:p>
    <w:p w:rsidR="00000000" w:rsidRPr="009C6A54" w:rsidP="009C6A54">
      <w:pPr>
        <w:pStyle w:val="AllowPageBreak"/>
      </w:pPr>
    </w:p>
    <w:p w:rsidR="00000000" w:rsidRPr="009C6A54" w:rsidP="009C6A54">
      <w:pPr>
        <w:pStyle w:val="Heading1"/>
      </w:pPr>
      <w:bookmarkStart w:id="4" w:name="O_1133221"/>
      <w:bookmarkEnd w:id="4"/>
      <w:r w:rsidRPr="009C6A54">
        <w:t>Assessment Conditions</w:t>
      </w:r>
    </w:p>
    <w:p w:rsidR="00000000" w:rsidRPr="009C6A54" w:rsidP="00A83D48">
      <w:pPr>
        <w:pStyle w:val="BodyText"/>
      </w:pPr>
      <w:r w:rsidRPr="009C6A54">
        <w:t>Skills in this unit must be demonstrated in a workplace or simulated environment where the conditions are typical of those in a working environment in this industry.</w:t>
      </w:r>
    </w:p>
    <w:p w:rsidR="00000000" w:rsidRPr="009C6A54" w:rsidP="00A83D48">
      <w:pPr>
        <w:pStyle w:val="BodyText"/>
      </w:pPr>
      <w:r w:rsidRPr="009C6A54">
        <w:t>This includes access to:</w:t>
      </w:r>
    </w:p>
    <w:p w:rsidR="00000000" w:rsidRPr="009C6A54" w:rsidP="009C6A54">
      <w:pPr>
        <w:pStyle w:val="ListBullet"/>
      </w:pPr>
      <w:r w:rsidRPr="009C6A54">
        <w:t>organisationa</w:t>
      </w:r>
      <w:r w:rsidRPr="009C6A54">
        <w:t>l records</w:t>
      </w:r>
    </w:p>
    <w:p w:rsidR="00000000" w:rsidRPr="009C6A54" w:rsidP="009C6A54">
      <w:pPr>
        <w:pStyle w:val="ListBullet"/>
      </w:pPr>
      <w:r w:rsidRPr="009C6A54">
        <w:t>organisational policies, procedures, legislation and regulations as they relate to contracts of insurance</w:t>
      </w:r>
    </w:p>
    <w:p w:rsidR="00000000" w:rsidRPr="009C6A54" w:rsidP="009C6A54">
      <w:pPr>
        <w:pStyle w:val="ListBullet"/>
      </w:pPr>
      <w:r w:rsidRPr="009C6A54">
        <w:t>common technology and software required to settle insurance claims.</w:t>
      </w:r>
    </w:p>
    <w:p w:rsidR="00000000" w:rsidRPr="009C6A54" w:rsidP="009C6A54">
      <w:pPr>
        <w:pStyle w:val="List"/>
      </w:pPr>
    </w:p>
    <w:p w:rsidR="00000000" w:rsidRPr="009C6A54" w:rsidP="00A83D48">
      <w:pPr>
        <w:pStyle w:val="BodyText"/>
      </w:pPr>
      <w:r w:rsidRPr="009C6A54">
        <w:t>Assessors of this unit must satisfy the requirements for assessors in a</w:t>
      </w:r>
      <w:r w:rsidRPr="009C6A54">
        <w:t>pplicable vocational education and training legislation, frameworks and/or standards.</w:t>
      </w:r>
    </w:p>
    <w:p w:rsidR="00000000" w:rsidRPr="009C6A54" w:rsidP="009C6A54">
      <w:pPr>
        <w:pStyle w:val="Heading1"/>
      </w:pPr>
      <w:bookmarkStart w:id="5" w:name="O_1133219"/>
      <w:bookmarkEnd w:id="5"/>
      <w:r w:rsidRPr="009C6A54">
        <w:t>Links</w:t>
      </w:r>
    </w:p>
    <w:p w:rsidR="00000000" w:rsidRPr="009C6A54" w:rsidP="00A83D48">
      <w:pPr>
        <w:pStyle w:val="BodyText"/>
      </w:pPr>
      <w:r w:rsidRPr="009C6A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5D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6A54" w:rsidP="009C6A54"/>
    <w:sectPr w:rsidSect="009C6A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54" w:rsidRPr="00A83D48" w:rsidP="00A83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D48" w:rsidP="009C6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3D48" w:rsidP="009C6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3D48" w:rsidP="009C6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A54" w:rsidRPr="00A83D48" w:rsidP="00A83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D48" w:rsidRPr="002D2AF8" w:rsidP="009C6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FNSISV521 Settle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83D48" w:rsidP="009C6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02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66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05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A54"/>
  </w:style>
  <w:style w:type="character" w:customStyle="1" w:styleId="Heading1Char">
    <w:name w:val="Heading 1 Char"/>
    <w:basedOn w:val="DefaultParagraphFont"/>
    <w:link w:val="Heading1"/>
    <w:rsid w:val="009C6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A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6A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6A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A54"/>
    <w:rPr>
      <w:b/>
      <w:spacing w:val="0"/>
    </w:rPr>
  </w:style>
  <w:style w:type="paragraph" w:styleId="ListBullet2">
    <w:name w:val="List Bullet 2"/>
    <w:basedOn w:val="List2"/>
    <w:rsid w:val="009C6A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A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6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A54"/>
    <w:rPr>
      <w:i/>
    </w:rPr>
  </w:style>
  <w:style w:type="paragraph" w:styleId="Caption">
    <w:name w:val="caption"/>
    <w:basedOn w:val="BodyText"/>
    <w:next w:val="Normal"/>
    <w:qFormat/>
    <w:rsid w:val="009C6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A54"/>
  </w:style>
  <w:style w:type="paragraph" w:styleId="TableofFigures">
    <w:name w:val="table of figures"/>
    <w:basedOn w:val="Normal"/>
    <w:next w:val="Normal"/>
    <w:semiHidden/>
    <w:rsid w:val="009C6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A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A54"/>
    <w:rPr>
      <w:rFonts w:ascii="Wingdings" w:hAnsi="Wingdings"/>
    </w:rPr>
  </w:style>
  <w:style w:type="paragraph" w:customStyle="1" w:styleId="TableHeading">
    <w:name w:val="Table Heading"/>
    <w:basedOn w:val="HeadingBase"/>
    <w:rsid w:val="009C6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A54"/>
    <w:rPr>
      <w:color w:val="0033CC"/>
      <w:u w:val="none"/>
    </w:rPr>
  </w:style>
  <w:style w:type="paragraph" w:customStyle="1" w:styleId="BodyTextRight">
    <w:name w:val="Body Text Right"/>
    <w:basedOn w:val="BodyText"/>
    <w:rsid w:val="009C6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A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A54"/>
    <w:rPr>
      <w:sz w:val="32"/>
    </w:rPr>
  </w:style>
  <w:style w:type="paragraph" w:customStyle="1" w:styleId="HeadingProcedure">
    <w:name w:val="Heading Procedure"/>
    <w:basedOn w:val="HeadingBase"/>
    <w:next w:val="Normal"/>
    <w:rsid w:val="009C6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A54"/>
    <w:pPr>
      <w:spacing w:before="60" w:after="60"/>
    </w:pPr>
  </w:style>
  <w:style w:type="paragraph" w:styleId="ListContinue">
    <w:name w:val="List Continue"/>
    <w:basedOn w:val="List"/>
    <w:rsid w:val="009C6A54"/>
    <w:pPr>
      <w:ind w:firstLine="0"/>
    </w:pPr>
  </w:style>
  <w:style w:type="paragraph" w:customStyle="1" w:styleId="ListNote">
    <w:name w:val="List Note"/>
    <w:basedOn w:val="List"/>
    <w:rsid w:val="009C6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A54"/>
    <w:rPr>
      <w:rFonts w:ascii="Courier New" w:hAnsi="Courier New"/>
    </w:rPr>
  </w:style>
  <w:style w:type="paragraph" w:customStyle="1" w:styleId="NoteBullet">
    <w:name w:val="Note Bullet"/>
    <w:basedOn w:val="Note"/>
    <w:rsid w:val="009C6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A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A54"/>
    <w:rPr>
      <w:b/>
      <w:smallCaps/>
    </w:rPr>
  </w:style>
  <w:style w:type="paragraph" w:customStyle="1" w:styleId="TableListNumber">
    <w:name w:val="Table List Number"/>
    <w:basedOn w:val="ListNumber"/>
    <w:rsid w:val="009C6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A54"/>
    <w:pPr>
      <w:numPr>
        <w:numId w:val="9"/>
      </w:numPr>
    </w:pPr>
  </w:style>
  <w:style w:type="paragraph" w:customStyle="1" w:styleId="ListAlpha2">
    <w:name w:val="List Alpha 2"/>
    <w:basedOn w:val="List2"/>
    <w:rsid w:val="009C6A54"/>
    <w:pPr>
      <w:numPr>
        <w:numId w:val="8"/>
      </w:numPr>
    </w:pPr>
  </w:style>
  <w:style w:type="paragraph" w:styleId="List2">
    <w:name w:val="List 2"/>
    <w:basedOn w:val="BodyText"/>
    <w:rsid w:val="009C6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A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A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A54"/>
    <w:pPr>
      <w:numPr>
        <w:numId w:val="4"/>
      </w:numPr>
    </w:pPr>
  </w:style>
  <w:style w:type="paragraph" w:styleId="ListContinue2">
    <w:name w:val="List Continue 2"/>
    <w:basedOn w:val="List2"/>
    <w:rsid w:val="009C6A54"/>
    <w:pPr>
      <w:ind w:firstLine="0"/>
    </w:pPr>
  </w:style>
  <w:style w:type="paragraph" w:styleId="ListContinue3">
    <w:name w:val="List Continue 3"/>
    <w:basedOn w:val="List3"/>
    <w:rsid w:val="009C6A54"/>
    <w:pPr>
      <w:ind w:left="1021" w:firstLine="0"/>
    </w:pPr>
  </w:style>
  <w:style w:type="paragraph" w:styleId="ListContinue4">
    <w:name w:val="List Continue 4"/>
    <w:basedOn w:val="List4"/>
    <w:rsid w:val="009C6A54"/>
    <w:pPr>
      <w:ind w:firstLine="0"/>
    </w:pPr>
  </w:style>
  <w:style w:type="paragraph" w:styleId="ListContinue5">
    <w:name w:val="List Continue 5"/>
    <w:basedOn w:val="List5"/>
    <w:rsid w:val="009C6A54"/>
    <w:pPr>
      <w:ind w:firstLine="0"/>
    </w:pPr>
  </w:style>
  <w:style w:type="paragraph" w:styleId="ListNumber3">
    <w:name w:val="List Number 3"/>
    <w:basedOn w:val="List3"/>
    <w:rsid w:val="009C6A54"/>
    <w:pPr>
      <w:numPr>
        <w:numId w:val="5"/>
      </w:numPr>
    </w:pPr>
  </w:style>
  <w:style w:type="paragraph" w:styleId="ListNumber4">
    <w:name w:val="List Number 4"/>
    <w:basedOn w:val="List4"/>
    <w:rsid w:val="009C6A54"/>
    <w:pPr>
      <w:numPr>
        <w:numId w:val="6"/>
      </w:numPr>
    </w:pPr>
  </w:style>
  <w:style w:type="paragraph" w:styleId="ListNumber5">
    <w:name w:val="List Number 5"/>
    <w:basedOn w:val="List5"/>
    <w:rsid w:val="009C6A54"/>
    <w:pPr>
      <w:numPr>
        <w:numId w:val="7"/>
      </w:numPr>
    </w:pPr>
  </w:style>
  <w:style w:type="paragraph" w:styleId="BlockText">
    <w:name w:val="Block Text"/>
    <w:basedOn w:val="Normal"/>
    <w:rsid w:val="009C6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A54"/>
    <w:rPr>
      <w:sz w:val="16"/>
      <w:vertAlign w:val="superscript"/>
    </w:rPr>
  </w:style>
  <w:style w:type="character" w:customStyle="1" w:styleId="Symbols">
    <w:name w:val="Symbols"/>
    <w:basedOn w:val="DefaultParagraphFont"/>
    <w:rsid w:val="009C6A54"/>
    <w:rPr>
      <w:rFonts w:ascii="Symbol" w:hAnsi="Symbol"/>
    </w:rPr>
  </w:style>
  <w:style w:type="character" w:customStyle="1" w:styleId="MenuOptions">
    <w:name w:val="Menu Options"/>
    <w:basedOn w:val="DefaultParagraphFont"/>
    <w:rsid w:val="009C6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A54"/>
    <w:rPr>
      <w:b/>
    </w:rPr>
  </w:style>
  <w:style w:type="character" w:customStyle="1" w:styleId="Underlined">
    <w:name w:val="Underlined"/>
    <w:basedOn w:val="DefaultParagraphFont"/>
    <w:rsid w:val="009C6A54"/>
    <w:rPr>
      <w:u w:val="single"/>
    </w:rPr>
  </w:style>
  <w:style w:type="paragraph" w:customStyle="1" w:styleId="TableBodyTextRight">
    <w:name w:val="Table Body Text Right"/>
    <w:basedOn w:val="TableBodyText"/>
    <w:rsid w:val="009C6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A54"/>
    <w:rPr>
      <w:sz w:val="18"/>
    </w:rPr>
  </w:style>
  <w:style w:type="paragraph" w:customStyle="1" w:styleId="BodySmallRight">
    <w:name w:val="Body Small Right"/>
    <w:basedOn w:val="BodyTextRight"/>
    <w:rsid w:val="009C6A54"/>
    <w:rPr>
      <w:sz w:val="18"/>
      <w:szCs w:val="18"/>
    </w:rPr>
  </w:style>
  <w:style w:type="paragraph" w:customStyle="1" w:styleId="MarginEdition">
    <w:name w:val="Margin Edition"/>
    <w:basedOn w:val="MarginNote"/>
    <w:rsid w:val="009C6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A54"/>
    <w:rPr>
      <w:sz w:val="2"/>
      <w:szCs w:val="2"/>
    </w:rPr>
  </w:style>
  <w:style w:type="character" w:customStyle="1" w:styleId="Small">
    <w:name w:val="Small"/>
    <w:basedOn w:val="DefaultParagraphFont"/>
    <w:rsid w:val="009C6A54"/>
    <w:rPr>
      <w:sz w:val="16"/>
    </w:rPr>
  </w:style>
  <w:style w:type="paragraph" w:customStyle="1" w:styleId="WideTable">
    <w:name w:val="Wide Table"/>
    <w:basedOn w:val="Normal"/>
    <w:rsid w:val="009C6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A54"/>
  </w:style>
  <w:style w:type="paragraph" w:styleId="Quote">
    <w:name w:val="Quote"/>
    <w:basedOn w:val="Heading1"/>
    <w:link w:val="QuoteChar"/>
    <w:qFormat/>
    <w:rsid w:val="009C6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A54"/>
    <w:pPr>
      <w:pageBreakBefore/>
    </w:pPr>
  </w:style>
  <w:style w:type="paragraph" w:customStyle="1" w:styleId="Border">
    <w:name w:val="Border"/>
    <w:basedOn w:val="Normal"/>
    <w:qFormat/>
    <w:rsid w:val="009C6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A54"/>
    <w:rPr>
      <w:u w:val="single"/>
    </w:rPr>
  </w:style>
  <w:style w:type="character" w:customStyle="1" w:styleId="BoldandItalics">
    <w:name w:val="Bold and Italics"/>
    <w:qFormat/>
    <w:rsid w:val="009C6A54"/>
    <w:rPr>
      <w:b/>
      <w:i/>
      <w:u w:val="none"/>
    </w:rPr>
  </w:style>
  <w:style w:type="paragraph" w:styleId="BalloonText">
    <w:name w:val="Balloon Text"/>
    <w:basedOn w:val="Normal"/>
    <w:link w:val="BalloonTextChar"/>
    <w:rsid w:val="009C6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A54"/>
    <w:pPr>
      <w:spacing w:before="0" w:after="0"/>
    </w:pPr>
  </w:style>
  <w:style w:type="paragraph" w:customStyle="1" w:styleId="BodyTextBold">
    <w:name w:val="Body Text Bold"/>
    <w:basedOn w:val="BodyText"/>
    <w:qFormat/>
    <w:rsid w:val="009C6A54"/>
    <w:rPr>
      <w:b/>
    </w:rPr>
  </w:style>
  <w:style w:type="character" w:styleId="Hyperlink">
    <w:name w:val="Hyperlink"/>
    <w:basedOn w:val="DefaultParagraphFont"/>
    <w:uiPriority w:val="99"/>
    <w:unhideWhenUsed/>
    <w:rsid w:val="00A83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2792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FNSISV521 Settle non-routine and complex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