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835" w:rsidP="002F4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FNSINC502 Assess financial products and services vulnerability to money laundering and terrorism financing</w:t>
      </w:r>
      <w:r>
        <w:fldChar w:fldCharType="end"/>
      </w:r>
    </w:p>
    <w:p w:rsidR="002F4835" w:rsidP="002F4835">
      <w:pPr>
        <w:pStyle w:val="Version"/>
        <w:sectPr w:rsidSect="00AA5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A519E" w:rsidP="00AA519E">
      <w:pPr>
        <w:pStyle w:val="SuperHeading"/>
      </w:pPr>
      <w:r w:rsidRPr="00AA519E">
        <w:t>Assessment Re</w:t>
      </w:r>
      <w:r w:rsidRPr="00AA519E">
        <w:t>quirements for FNSINC502 Assess financial products and services vulnerability to money laundering and terrorism financing</w:t>
      </w:r>
    </w:p>
    <w:p w:rsidR="00000000" w:rsidRPr="00AA519E" w:rsidP="00AA519E">
      <w:pPr>
        <w:pStyle w:val="Heading1"/>
      </w:pPr>
      <w:bookmarkStart w:id="1" w:name="O_734805"/>
      <w:bookmarkEnd w:id="1"/>
      <w:r w:rsidRPr="00AA51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A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19E" w:rsidP="00AA519E">
            <w:pPr>
              <w:pStyle w:val="BodyText"/>
            </w:pPr>
            <w:r w:rsidRPr="00AA519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19E">
            <w:pPr>
              <w:pStyle w:val="BodyText"/>
              <w:rPr>
                <w:lang w:val="en-NZ"/>
              </w:rPr>
            </w:pPr>
            <w:r w:rsidRPr="00AA519E">
              <w:rPr>
                <w:rStyle w:val="SpecialBold"/>
              </w:rPr>
              <w:t>Comments</w:t>
            </w:r>
          </w:p>
        </w:tc>
      </w:tr>
      <w:tr w:rsidTr="00AA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19E">
            <w:pPr>
              <w:pStyle w:val="BodyText"/>
              <w:rPr>
                <w:lang w:val="en-NZ"/>
              </w:rPr>
            </w:pPr>
            <w:r w:rsidRPr="00AA519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19E" w:rsidP="00AA519E">
            <w:pPr>
              <w:pStyle w:val="BodyText"/>
            </w:pPr>
            <w:r w:rsidRPr="00AA519E">
              <w:t>This version first released with FNS Financial Services Training Package Version 1.1</w:t>
            </w:r>
          </w:p>
          <w:p w:rsidR="00000000" w:rsidP="00AA519E">
            <w:pPr>
              <w:pStyle w:val="BodyText"/>
              <w:rPr>
                <w:lang w:val="en-NZ"/>
              </w:rPr>
            </w:pPr>
            <w:r w:rsidRPr="00AA519E">
              <w:t>Version 2 created to correct mapping information</w:t>
            </w:r>
          </w:p>
        </w:tc>
      </w:tr>
      <w:tr w:rsidTr="00AA51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19E">
            <w:pPr>
              <w:pStyle w:val="BodyText"/>
              <w:rPr>
                <w:lang w:val="en-NZ"/>
              </w:rPr>
            </w:pPr>
            <w:r w:rsidRPr="00AA519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19E" w:rsidP="00AA519E">
            <w:pPr>
              <w:pStyle w:val="BodyText"/>
            </w:pPr>
            <w:r w:rsidRPr="00AA519E">
              <w:t>This version first released with FNS Financial Services Training Package Version 1.0.</w:t>
            </w:r>
          </w:p>
        </w:tc>
      </w:tr>
    </w:tbl>
    <w:p w:rsidR="00000000" w:rsidRPr="00AA519E" w:rsidP="00AA519E">
      <w:pPr>
        <w:pStyle w:val="BodyText"/>
      </w:pPr>
    </w:p>
    <w:p w:rsidR="00000000" w:rsidRPr="00AA519E" w:rsidP="00AA519E">
      <w:pPr>
        <w:pStyle w:val="AllowPageBreak"/>
      </w:pPr>
    </w:p>
    <w:p w:rsidR="00000000" w:rsidRPr="00AA519E" w:rsidP="00AA519E">
      <w:pPr>
        <w:pStyle w:val="Heading1"/>
      </w:pPr>
      <w:bookmarkStart w:id="2" w:name="O_734804"/>
      <w:bookmarkEnd w:id="2"/>
      <w:r w:rsidRPr="00AA519E">
        <w:t>Perfor</w:t>
      </w:r>
      <w:r w:rsidRPr="00AA519E">
        <w:t>mance Evidence</w:t>
      </w:r>
    </w:p>
    <w:p w:rsidR="00000000" w:rsidRPr="00AA519E" w:rsidP="002F4835">
      <w:pPr>
        <w:pStyle w:val="BodyText"/>
      </w:pPr>
      <w:r w:rsidRPr="00AA519E">
        <w:t>Evidence of the ability to:</w:t>
      </w:r>
    </w:p>
    <w:p w:rsidR="00000000" w:rsidRPr="00AA519E" w:rsidP="00AA519E">
      <w:pPr>
        <w:pStyle w:val="ListBullet"/>
      </w:pPr>
      <w:r w:rsidRPr="00AA519E">
        <w:t>maintain currency of knowledge of financial products and their compliance requirements, analyse the potential use of these products in money laundering and terrorism financing, and assess anti-money laundering an</w:t>
      </w:r>
      <w:r w:rsidRPr="00AA519E">
        <w:t>d counter terrorism financing (AML/CTF) controls.</w:t>
      </w:r>
    </w:p>
    <w:p w:rsidR="00000000" w:rsidRPr="00AA519E" w:rsidP="00AA519E">
      <w:pPr>
        <w:pStyle w:val="BodyText"/>
      </w:pPr>
    </w:p>
    <w:p w:rsidR="00000000" w:rsidRPr="00AA519E" w:rsidP="002F4835">
      <w:pPr>
        <w:pStyle w:val="BodyText"/>
      </w:pPr>
      <w:r w:rsidRPr="00AA519E">
        <w:t>Note: If a specific volume or frequency is not stated, then evidence must be provided at least once.</w:t>
      </w:r>
    </w:p>
    <w:p w:rsidR="00000000" w:rsidRPr="00AA519E" w:rsidP="00AA519E">
      <w:pPr>
        <w:pStyle w:val="Heading1"/>
      </w:pPr>
      <w:bookmarkStart w:id="3" w:name="O_734803"/>
      <w:bookmarkEnd w:id="3"/>
      <w:r w:rsidRPr="00AA519E">
        <w:t>Knowledge Evidence</w:t>
      </w:r>
    </w:p>
    <w:p w:rsidR="00000000" w:rsidRPr="00AA519E" w:rsidP="002F4835">
      <w:pPr>
        <w:pStyle w:val="BodyText"/>
      </w:pPr>
      <w:r w:rsidRPr="00AA519E">
        <w:t>To complete the unit requirements safely and effectively, the individual must:</w:t>
      </w:r>
    </w:p>
    <w:p w:rsidR="00000000" w:rsidRPr="00AA519E" w:rsidP="00AA519E">
      <w:pPr>
        <w:pStyle w:val="ListBullet"/>
      </w:pPr>
      <w:r w:rsidRPr="00AA519E">
        <w:t>explain systems that can be accessed to obtain up-to-date information on products and services</w:t>
      </w:r>
    </w:p>
    <w:p w:rsidR="00000000" w:rsidRPr="00AA519E" w:rsidP="00AA519E">
      <w:pPr>
        <w:pStyle w:val="ListBullet"/>
      </w:pPr>
      <w:r w:rsidRPr="00AA519E">
        <w:t>describe the products and services used by the organisation or sector and their p</w:t>
      </w:r>
      <w:r w:rsidRPr="00AA519E">
        <w:t>urpose</w:t>
      </w:r>
    </w:p>
    <w:p w:rsidR="00000000" w:rsidRPr="00AA519E" w:rsidP="00AA519E">
      <w:pPr>
        <w:pStyle w:val="ListBullet"/>
      </w:pPr>
      <w:r w:rsidRPr="00AA519E">
        <w:t>outline compliance requirements for products and services used by the organisation or sector</w:t>
      </w:r>
    </w:p>
    <w:p w:rsidR="00000000" w:rsidRPr="00AA519E" w:rsidP="00AA519E">
      <w:pPr>
        <w:pStyle w:val="ListBullet"/>
      </w:pPr>
      <w:r w:rsidRPr="00AA519E">
        <w:t>describe characteristics of products and services that make them vulnerable to money laundering and terrorism financing</w:t>
      </w:r>
    </w:p>
    <w:p w:rsidR="00000000" w:rsidRPr="00AA519E" w:rsidP="00AA519E">
      <w:pPr>
        <w:pStyle w:val="ListBullet"/>
      </w:pPr>
      <w:r w:rsidRPr="00AA519E">
        <w:t>assess AML/CTF controls</w:t>
      </w:r>
    </w:p>
    <w:p w:rsidR="00000000" w:rsidRPr="00AA519E" w:rsidP="00AA519E">
      <w:pPr>
        <w:pStyle w:val="ListBullet"/>
      </w:pPr>
      <w:r w:rsidRPr="00AA519E">
        <w:t>outline gene</w:t>
      </w:r>
      <w:r w:rsidRPr="00AA519E">
        <w:t>ral client characteristics and needs for the organisation or sector.</w:t>
      </w:r>
    </w:p>
    <w:p w:rsidR="00000000" w:rsidRPr="00AA519E" w:rsidP="00AA519E">
      <w:pPr>
        <w:pStyle w:val="AllowPageBreak"/>
      </w:pPr>
    </w:p>
    <w:p w:rsidR="00000000" w:rsidRPr="00AA519E" w:rsidP="00AA519E">
      <w:pPr>
        <w:pStyle w:val="Heading1"/>
      </w:pPr>
      <w:bookmarkStart w:id="4" w:name="O_734802"/>
      <w:bookmarkEnd w:id="4"/>
      <w:r w:rsidRPr="00AA519E">
        <w:t>Assessment Conditions</w:t>
      </w:r>
    </w:p>
    <w:p w:rsidR="00000000" w:rsidRPr="00AA519E" w:rsidP="002F4835">
      <w:pPr>
        <w:pStyle w:val="BodyText"/>
      </w:pPr>
      <w:r w:rsidRPr="00AA519E">
        <w:t xml:space="preserve">Assessment must be conducted in a safe environment where evidence gathered demonstrates consistent performance of typical activities experienced in </w:t>
      </w:r>
      <w:r w:rsidRPr="00AA519E">
        <w:t>the industry capability field and include access to:</w:t>
      </w:r>
    </w:p>
    <w:p w:rsidR="00000000" w:rsidRPr="00AA519E" w:rsidP="00AA519E">
      <w:pPr>
        <w:pStyle w:val="ListBullet"/>
      </w:pPr>
      <w:r w:rsidRPr="00AA519E">
        <w:t>common office equipment, technology, software and consumables</w:t>
      </w:r>
    </w:p>
    <w:p w:rsidR="00000000" w:rsidRPr="00AA519E" w:rsidP="00AA519E">
      <w:pPr>
        <w:pStyle w:val="ListBullet"/>
      </w:pPr>
      <w:r w:rsidRPr="00AA519E">
        <w:t>financial services product information.</w:t>
      </w:r>
    </w:p>
    <w:p w:rsidR="00000000" w:rsidRPr="00AA519E" w:rsidP="00AA519E">
      <w:pPr>
        <w:pStyle w:val="BodyText"/>
      </w:pPr>
    </w:p>
    <w:p w:rsidR="00000000" w:rsidRPr="00AA519E" w:rsidP="002F4835">
      <w:pPr>
        <w:pStyle w:val="BodyText"/>
      </w:pPr>
      <w:r w:rsidRPr="00AA519E">
        <w:t>Assessors must satisfy NVR/AQTF assessor requirements.</w:t>
      </w:r>
    </w:p>
    <w:p w:rsidR="00000000" w:rsidRPr="00AA519E" w:rsidP="00AA519E">
      <w:pPr>
        <w:pStyle w:val="Heading1"/>
      </w:pPr>
      <w:bookmarkStart w:id="5" w:name="O_734814"/>
      <w:bookmarkEnd w:id="5"/>
      <w:r w:rsidRPr="00AA519E">
        <w:t>Links</w:t>
      </w:r>
    </w:p>
    <w:p w:rsidR="00000000" w:rsidRPr="00AA519E" w:rsidP="002F4835">
      <w:pPr>
        <w:pStyle w:val="BodyText"/>
      </w:pPr>
      <w:r w:rsidRPr="00AA519E">
        <w:t>Companion Volume impl</w:t>
      </w:r>
      <w:r w:rsidRPr="00AA519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C09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A519E" w:rsidP="00AA519E"/>
    <w:sectPr w:rsidSect="00AA51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9E" w:rsidRPr="002F4835" w:rsidP="002F4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5" w:rsidP="00AA5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835" w:rsidP="00AA5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4835" w:rsidP="00AA5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19E" w:rsidRPr="002F4835" w:rsidP="002F4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835" w:rsidRPr="002D2AF8" w:rsidP="00AA5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FNSINC502 Assess financial products and services vulnerability to money laundering and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F4835" w:rsidP="00AA5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28F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8A45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19E"/>
  </w:style>
  <w:style w:type="character" w:customStyle="1" w:styleId="Heading1Char">
    <w:name w:val="Heading 1 Char"/>
    <w:basedOn w:val="DefaultParagraphFont"/>
    <w:link w:val="Heading1"/>
    <w:rsid w:val="00AA5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1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19E"/>
    <w:rPr>
      <w:b/>
      <w:spacing w:val="0"/>
    </w:rPr>
  </w:style>
  <w:style w:type="paragraph" w:customStyle="1" w:styleId="SuperHeading">
    <w:name w:val="SuperHeading"/>
    <w:basedOn w:val="Normal"/>
    <w:rsid w:val="00AA5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5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1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1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519E"/>
    <w:rPr>
      <w:i/>
    </w:rPr>
  </w:style>
  <w:style w:type="paragraph" w:styleId="Caption">
    <w:name w:val="caption"/>
    <w:basedOn w:val="BodyText"/>
    <w:next w:val="Normal"/>
    <w:qFormat/>
    <w:rsid w:val="00AA5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19E"/>
  </w:style>
  <w:style w:type="paragraph" w:styleId="TableofFigures">
    <w:name w:val="table of figures"/>
    <w:basedOn w:val="Normal"/>
    <w:next w:val="Normal"/>
    <w:semiHidden/>
    <w:rsid w:val="00AA5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1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519E"/>
    <w:rPr>
      <w:rFonts w:ascii="Wingdings" w:hAnsi="Wingdings"/>
    </w:rPr>
  </w:style>
  <w:style w:type="paragraph" w:customStyle="1" w:styleId="TableHeading">
    <w:name w:val="Table Heading"/>
    <w:basedOn w:val="HeadingBase"/>
    <w:rsid w:val="00AA5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19E"/>
    <w:rPr>
      <w:color w:val="0033CC"/>
      <w:u w:val="none"/>
    </w:rPr>
  </w:style>
  <w:style w:type="paragraph" w:customStyle="1" w:styleId="BodyTextRight">
    <w:name w:val="Body Text Right"/>
    <w:basedOn w:val="BodyText"/>
    <w:rsid w:val="00AA5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1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19E"/>
    <w:rPr>
      <w:sz w:val="32"/>
    </w:rPr>
  </w:style>
  <w:style w:type="paragraph" w:customStyle="1" w:styleId="HeadingProcedure">
    <w:name w:val="Heading Procedure"/>
    <w:basedOn w:val="HeadingBase"/>
    <w:next w:val="Normal"/>
    <w:rsid w:val="00AA5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19E"/>
    <w:pPr>
      <w:spacing w:before="60" w:after="60"/>
    </w:pPr>
  </w:style>
  <w:style w:type="paragraph" w:styleId="ListContinue">
    <w:name w:val="List Continue"/>
    <w:basedOn w:val="List"/>
    <w:rsid w:val="00AA519E"/>
    <w:pPr>
      <w:ind w:firstLine="0"/>
    </w:pPr>
  </w:style>
  <w:style w:type="paragraph" w:customStyle="1" w:styleId="ListNote">
    <w:name w:val="List Note"/>
    <w:basedOn w:val="List"/>
    <w:rsid w:val="00AA5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19E"/>
    <w:rPr>
      <w:rFonts w:ascii="Courier New" w:hAnsi="Courier New"/>
    </w:rPr>
  </w:style>
  <w:style w:type="paragraph" w:customStyle="1" w:styleId="NoteBullet">
    <w:name w:val="Note Bullet"/>
    <w:basedOn w:val="Note"/>
    <w:rsid w:val="00AA5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1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19E"/>
    <w:rPr>
      <w:b/>
      <w:smallCaps/>
    </w:rPr>
  </w:style>
  <w:style w:type="paragraph" w:customStyle="1" w:styleId="TableListNumber">
    <w:name w:val="Table List Number"/>
    <w:basedOn w:val="ListNumber"/>
    <w:rsid w:val="00AA5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19E"/>
    <w:pPr>
      <w:numPr>
        <w:numId w:val="8"/>
      </w:numPr>
    </w:pPr>
  </w:style>
  <w:style w:type="paragraph" w:customStyle="1" w:styleId="ListAlpha2">
    <w:name w:val="List Alpha 2"/>
    <w:basedOn w:val="List2"/>
    <w:rsid w:val="00AA519E"/>
    <w:pPr>
      <w:numPr>
        <w:numId w:val="7"/>
      </w:numPr>
    </w:pPr>
  </w:style>
  <w:style w:type="paragraph" w:styleId="List2">
    <w:name w:val="List 2"/>
    <w:basedOn w:val="BodyText"/>
    <w:rsid w:val="00AA5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5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1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1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519E"/>
    <w:pPr>
      <w:numPr>
        <w:numId w:val="3"/>
      </w:numPr>
    </w:pPr>
  </w:style>
  <w:style w:type="paragraph" w:styleId="ListContinue2">
    <w:name w:val="List Continue 2"/>
    <w:basedOn w:val="List2"/>
    <w:rsid w:val="00AA519E"/>
    <w:pPr>
      <w:ind w:firstLine="0"/>
    </w:pPr>
  </w:style>
  <w:style w:type="paragraph" w:styleId="ListContinue3">
    <w:name w:val="List Continue 3"/>
    <w:basedOn w:val="List3"/>
    <w:rsid w:val="00AA519E"/>
    <w:pPr>
      <w:ind w:left="1021" w:firstLine="0"/>
    </w:pPr>
  </w:style>
  <w:style w:type="paragraph" w:styleId="ListContinue4">
    <w:name w:val="List Continue 4"/>
    <w:basedOn w:val="List4"/>
    <w:rsid w:val="00AA519E"/>
    <w:pPr>
      <w:ind w:firstLine="0"/>
    </w:pPr>
  </w:style>
  <w:style w:type="paragraph" w:styleId="ListContinue5">
    <w:name w:val="List Continue 5"/>
    <w:basedOn w:val="List5"/>
    <w:rsid w:val="00AA519E"/>
    <w:pPr>
      <w:ind w:firstLine="0"/>
    </w:pPr>
  </w:style>
  <w:style w:type="paragraph" w:styleId="ListNumber3">
    <w:name w:val="List Number 3"/>
    <w:basedOn w:val="List3"/>
    <w:rsid w:val="00AA519E"/>
    <w:pPr>
      <w:numPr>
        <w:numId w:val="4"/>
      </w:numPr>
    </w:pPr>
  </w:style>
  <w:style w:type="paragraph" w:styleId="ListNumber4">
    <w:name w:val="List Number 4"/>
    <w:basedOn w:val="List4"/>
    <w:rsid w:val="00AA519E"/>
    <w:pPr>
      <w:numPr>
        <w:numId w:val="5"/>
      </w:numPr>
    </w:pPr>
  </w:style>
  <w:style w:type="paragraph" w:styleId="ListNumber5">
    <w:name w:val="List Number 5"/>
    <w:basedOn w:val="List5"/>
    <w:rsid w:val="00AA519E"/>
    <w:pPr>
      <w:numPr>
        <w:numId w:val="6"/>
      </w:numPr>
    </w:pPr>
  </w:style>
  <w:style w:type="paragraph" w:styleId="BlockText">
    <w:name w:val="Block Text"/>
    <w:basedOn w:val="Normal"/>
    <w:rsid w:val="00AA5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19E"/>
    <w:rPr>
      <w:sz w:val="16"/>
      <w:vertAlign w:val="superscript"/>
    </w:rPr>
  </w:style>
  <w:style w:type="character" w:customStyle="1" w:styleId="Symbols">
    <w:name w:val="Symbols"/>
    <w:basedOn w:val="DefaultParagraphFont"/>
    <w:rsid w:val="00AA519E"/>
    <w:rPr>
      <w:rFonts w:ascii="Symbol" w:hAnsi="Symbol"/>
    </w:rPr>
  </w:style>
  <w:style w:type="character" w:customStyle="1" w:styleId="MenuOptions">
    <w:name w:val="Menu Options"/>
    <w:basedOn w:val="DefaultParagraphFont"/>
    <w:rsid w:val="00AA5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19E"/>
    <w:rPr>
      <w:b/>
    </w:rPr>
  </w:style>
  <w:style w:type="character" w:customStyle="1" w:styleId="Underlined">
    <w:name w:val="Underlined"/>
    <w:basedOn w:val="DefaultParagraphFont"/>
    <w:rsid w:val="00AA519E"/>
    <w:rPr>
      <w:u w:val="single"/>
    </w:rPr>
  </w:style>
  <w:style w:type="paragraph" w:customStyle="1" w:styleId="TableBodyTextRight">
    <w:name w:val="Table Body Text Right"/>
    <w:basedOn w:val="TableBodyText"/>
    <w:rsid w:val="00AA5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19E"/>
    <w:rPr>
      <w:sz w:val="18"/>
    </w:rPr>
  </w:style>
  <w:style w:type="paragraph" w:customStyle="1" w:styleId="BodySmallRight">
    <w:name w:val="Body Small Right"/>
    <w:basedOn w:val="BodyTextRight"/>
    <w:rsid w:val="00AA519E"/>
    <w:rPr>
      <w:sz w:val="18"/>
      <w:szCs w:val="18"/>
    </w:rPr>
  </w:style>
  <w:style w:type="paragraph" w:customStyle="1" w:styleId="MarginEdition">
    <w:name w:val="Margin Edition"/>
    <w:basedOn w:val="MarginNote"/>
    <w:rsid w:val="00AA5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19E"/>
    <w:rPr>
      <w:sz w:val="2"/>
      <w:szCs w:val="2"/>
    </w:rPr>
  </w:style>
  <w:style w:type="character" w:customStyle="1" w:styleId="Small">
    <w:name w:val="Small"/>
    <w:basedOn w:val="DefaultParagraphFont"/>
    <w:rsid w:val="00AA519E"/>
    <w:rPr>
      <w:sz w:val="16"/>
    </w:rPr>
  </w:style>
  <w:style w:type="paragraph" w:customStyle="1" w:styleId="WideTable">
    <w:name w:val="Wide Table"/>
    <w:basedOn w:val="Normal"/>
    <w:rsid w:val="00AA5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19E"/>
  </w:style>
  <w:style w:type="paragraph" w:styleId="Quote">
    <w:name w:val="Quote"/>
    <w:basedOn w:val="Heading1"/>
    <w:link w:val="QuoteChar"/>
    <w:qFormat/>
    <w:rsid w:val="00AA5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19E"/>
    <w:pPr>
      <w:pageBreakBefore/>
    </w:pPr>
  </w:style>
  <w:style w:type="paragraph" w:customStyle="1" w:styleId="Border">
    <w:name w:val="Border"/>
    <w:basedOn w:val="Normal"/>
    <w:qFormat/>
    <w:rsid w:val="00AA5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19E"/>
    <w:rPr>
      <w:u w:val="single"/>
    </w:rPr>
  </w:style>
  <w:style w:type="character" w:customStyle="1" w:styleId="BoldandItalics">
    <w:name w:val="Bold and Italics"/>
    <w:qFormat/>
    <w:rsid w:val="00AA519E"/>
    <w:rPr>
      <w:b/>
      <w:i/>
      <w:u w:val="none"/>
    </w:rPr>
  </w:style>
  <w:style w:type="paragraph" w:styleId="BalloonText">
    <w:name w:val="Balloon Text"/>
    <w:basedOn w:val="Normal"/>
    <w:link w:val="BalloonTextChar"/>
    <w:rsid w:val="00AA5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19E"/>
    <w:pPr>
      <w:spacing w:before="0" w:after="0"/>
    </w:pPr>
  </w:style>
  <w:style w:type="paragraph" w:customStyle="1" w:styleId="BodyTextBold">
    <w:name w:val="Body Text Bold"/>
    <w:basedOn w:val="BodyText"/>
    <w:qFormat/>
    <w:rsid w:val="00AA519E"/>
    <w:rPr>
      <w:b/>
    </w:rPr>
  </w:style>
  <w:style w:type="character" w:styleId="Hyperlink">
    <w:name w:val="Hyperlink"/>
    <w:basedOn w:val="DefaultParagraphFont"/>
    <w:uiPriority w:val="99"/>
    <w:unhideWhenUsed/>
    <w:rsid w:val="002F4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1986</Characters>
  <Application>Microsoft Office Word</Application>
  <DocSecurity>0</DocSecurity>
  <Lines>58</Lines>
  <Paragraphs>36</Paragraphs>
  <ScaleCrop>false</ScaleCrop>
  <Company>Author-it Software Corporation Ltd.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FNSINC502 Assess financial products and services vulnerability to money laundering and terrorism financing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2022-01-27T02:24:00Z</dcterms:created>
  <dcterms:modified xsi:type="dcterms:W3CDTF">2022-01-27T02:24:00Z</dcterms:modified>
</cp:coreProperties>
</file>