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B4C" w:rsidP="005D0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FNSILF512 Underwrite complex risks</w:t>
      </w:r>
      <w:r>
        <w:fldChar w:fldCharType="end"/>
      </w:r>
    </w:p>
    <w:p w:rsidR="005D0B4C" w:rsidP="005D0B4C">
      <w:pPr>
        <w:pStyle w:val="Version"/>
        <w:sectPr w:rsidSect="00514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1FB" w:rsidP="005141FB">
      <w:pPr>
        <w:pStyle w:val="SuperHeading"/>
      </w:pPr>
      <w:r w:rsidRPr="005141FB">
        <w:t>Assessment Requirements for FNSILF512 Underwrite complex risks</w:t>
      </w:r>
    </w:p>
    <w:p w:rsidR="00000000" w:rsidRPr="005141FB" w:rsidP="005141FB">
      <w:pPr>
        <w:pStyle w:val="Heading1"/>
      </w:pPr>
      <w:bookmarkStart w:id="1" w:name="O_1218398"/>
      <w:bookmarkEnd w:id="1"/>
      <w:r w:rsidRPr="00514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1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1FB" w:rsidP="005141FB">
            <w:pPr>
              <w:pStyle w:val="BodyText"/>
            </w:pPr>
            <w:r w:rsidRPr="005141F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1FB">
            <w:pPr>
              <w:pStyle w:val="BodyText"/>
              <w:rPr>
                <w:lang w:val="en-NZ"/>
              </w:rPr>
            </w:pPr>
            <w:r w:rsidRPr="005141FB">
              <w:rPr>
                <w:rStyle w:val="SpecialBold"/>
              </w:rPr>
              <w:t>Comments</w:t>
            </w:r>
          </w:p>
        </w:tc>
      </w:tr>
      <w:tr w:rsidTr="0051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1FB">
            <w:pPr>
              <w:pStyle w:val="BodyText"/>
              <w:rPr>
                <w:lang w:val="en-NZ"/>
              </w:rPr>
            </w:pPr>
            <w:r w:rsidRPr="005141F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1FB" w:rsidP="005141FB">
            <w:pPr>
              <w:pStyle w:val="BodyText"/>
            </w:pPr>
            <w:r w:rsidRPr="005141FB">
              <w:t>This version first released with FNS Financial Services Training Package Version 7.0.</w:t>
            </w:r>
          </w:p>
          <w:p w:rsidR="00000000" w:rsidRPr="005141FB" w:rsidP="005141FB">
            <w:pPr>
              <w:pStyle w:val="BodyText"/>
            </w:pPr>
            <w:r w:rsidRPr="005141FB">
              <w:t>Supersedes and is not equivalent to F</w:t>
            </w:r>
            <w:r w:rsidRPr="005141FB">
              <w:t>NSILF502 Underwrite complex medical risks.</w:t>
            </w:r>
          </w:p>
          <w:p w:rsidR="00000000" w:rsidRPr="005141FB" w:rsidP="005141FB">
            <w:pPr>
              <w:pStyle w:val="BodyText"/>
            </w:pPr>
            <w:r w:rsidRPr="005141FB">
              <w:t>Minor changes to title, application and elements. Significant rewording of performance criteria. Performance evidence and knowledge evidence updated to clarify intent. Updates to assessment conditions as interacti</w:t>
            </w:r>
            <w:r w:rsidRPr="005141FB">
              <w:t>on with others not required.</w:t>
            </w:r>
          </w:p>
        </w:tc>
      </w:tr>
    </w:tbl>
    <w:p w:rsidR="005D0B4C" w:rsidP="005141FB">
      <w:pPr>
        <w:pStyle w:val="BodyText"/>
      </w:pPr>
    </w:p>
    <w:p w:rsidR="005D0B4C" w:rsidP="005141FB">
      <w:pPr>
        <w:pStyle w:val="BodyText"/>
      </w:pPr>
    </w:p>
    <w:p w:rsidR="00000000" w:rsidRPr="005141FB" w:rsidP="005141FB">
      <w:pPr>
        <w:pStyle w:val="Heading1"/>
      </w:pPr>
      <w:bookmarkStart w:id="2" w:name="O_1218399"/>
      <w:bookmarkEnd w:id="2"/>
      <w:r w:rsidRPr="005141FB">
        <w:t>Performance Evidence</w:t>
      </w:r>
    </w:p>
    <w:p w:rsidR="00000000" w:rsidRPr="005141FB" w:rsidP="005D0B4C">
      <w:pPr>
        <w:pStyle w:val="BodyText"/>
      </w:pPr>
      <w:r w:rsidRPr="005141FB">
        <w:t>The candidate must demonstrate the ability to complete the tasks outlined in the elements, performance criteria and foundation skills of this unit, including evidence of the ability to</w:t>
      </w:r>
      <w:r w:rsidRPr="005141FB">
        <w:t>:</w:t>
      </w:r>
    </w:p>
    <w:p w:rsidR="00000000" w:rsidRPr="005141FB" w:rsidP="005141FB">
      <w:pPr>
        <w:pStyle w:val="ListBullet"/>
      </w:pPr>
      <w:r w:rsidRPr="005141FB">
        <w:t>underwrite three different life insurance applications, each with different complex risks.</w:t>
      </w:r>
    </w:p>
    <w:p w:rsidR="00000000" w:rsidRPr="005141FB" w:rsidP="005141FB">
      <w:pPr>
        <w:pStyle w:val="AllowPageBreak"/>
      </w:pPr>
    </w:p>
    <w:p w:rsidR="00000000" w:rsidRPr="005141FB" w:rsidP="005141FB">
      <w:pPr>
        <w:pStyle w:val="Heading1"/>
      </w:pPr>
      <w:bookmarkStart w:id="3" w:name="O_1218400"/>
      <w:bookmarkEnd w:id="3"/>
      <w:r w:rsidRPr="005141FB">
        <w:t>Knowledge Evidence</w:t>
      </w:r>
    </w:p>
    <w:p w:rsidR="00000000" w:rsidRPr="005141FB" w:rsidP="005D0B4C">
      <w:pPr>
        <w:pStyle w:val="BodyText"/>
      </w:pPr>
      <w:r w:rsidRPr="005141FB">
        <w:t>The candidate must be able to demonstrate knowledge to complete the tasks outlined in the elements, performance criteria and foundation skills of this unit, including knowledge of:</w:t>
      </w:r>
    </w:p>
    <w:p w:rsidR="00000000" w:rsidRPr="005141FB" w:rsidP="005141FB">
      <w:pPr>
        <w:pStyle w:val="ListBullet"/>
      </w:pPr>
      <w:r w:rsidRPr="005141FB">
        <w:t>types of complex risk factors and their implications for life insurance, i</w:t>
      </w:r>
      <w:r w:rsidRPr="005141FB">
        <w:t>ncluding:</w:t>
      </w:r>
    </w:p>
    <w:p w:rsidR="00000000" w:rsidRPr="005141FB" w:rsidP="005141FB">
      <w:pPr>
        <w:pStyle w:val="ListBullet2"/>
      </w:pPr>
      <w:r w:rsidRPr="005141FB">
        <w:t>multiple medical risk factors, including comorbidities</w:t>
      </w:r>
    </w:p>
    <w:p w:rsidR="00000000" w:rsidRPr="005141FB" w:rsidP="005141FB">
      <w:pPr>
        <w:pStyle w:val="ListBullet2"/>
      </w:pPr>
      <w:r w:rsidRPr="005141FB">
        <w:t>financial accounts with multiple entities</w:t>
      </w:r>
    </w:p>
    <w:p w:rsidR="00000000" w:rsidRPr="005141FB" w:rsidP="005141FB">
      <w:pPr>
        <w:pStyle w:val="ListBullet2"/>
      </w:pPr>
      <w:r w:rsidRPr="005141FB">
        <w:t>multiple occupational risk factors</w:t>
      </w:r>
    </w:p>
    <w:p w:rsidR="00000000" w:rsidRPr="005141FB" w:rsidP="005141FB">
      <w:pPr>
        <w:pStyle w:val="ListBullet"/>
      </w:pPr>
      <w:r w:rsidRPr="005141FB">
        <w:t>organisational policies and procedures relating to underwriting complex risks, including risk-assessment criteri</w:t>
      </w:r>
      <w:r w:rsidRPr="005141FB">
        <w:t>a</w:t>
      </w:r>
    </w:p>
    <w:p w:rsidR="00000000" w:rsidRPr="005141FB" w:rsidP="005141FB">
      <w:pPr>
        <w:pStyle w:val="ListBullet"/>
      </w:pPr>
      <w:r w:rsidRPr="005141FB">
        <w:t>legislative requirements, underwriting guidelines and code of professional practice relating to underwriting complex risks</w:t>
      </w:r>
    </w:p>
    <w:p w:rsidR="00000000" w:rsidRPr="005141FB" w:rsidP="005141FB">
      <w:pPr>
        <w:pStyle w:val="ListBullet"/>
      </w:pPr>
      <w:r w:rsidRPr="005141FB">
        <w:t>life insurance:</w:t>
      </w:r>
    </w:p>
    <w:p w:rsidR="00000000" w:rsidRPr="005141FB" w:rsidP="005141FB">
      <w:pPr>
        <w:pStyle w:val="ListBullet2"/>
      </w:pPr>
      <w:r w:rsidRPr="005141FB">
        <w:t>policy terms and conditions</w:t>
      </w:r>
    </w:p>
    <w:p w:rsidR="00000000" w:rsidRPr="005141FB" w:rsidP="005141FB">
      <w:pPr>
        <w:pStyle w:val="ListBullet2"/>
      </w:pPr>
      <w:r w:rsidRPr="005141FB">
        <w:t>risk-management practices</w:t>
      </w:r>
    </w:p>
    <w:p w:rsidR="00000000" w:rsidRPr="005141FB" w:rsidP="005141FB">
      <w:pPr>
        <w:pStyle w:val="ListBullet"/>
      </w:pPr>
      <w:r w:rsidRPr="005141FB">
        <w:t>types of:</w:t>
      </w:r>
    </w:p>
    <w:p w:rsidR="00000000" w:rsidRPr="005141FB" w:rsidP="005141FB">
      <w:pPr>
        <w:pStyle w:val="ListBullet2"/>
      </w:pPr>
      <w:r w:rsidRPr="005141FB">
        <w:t>medical procedures, diseases, injuries and termi</w:t>
      </w:r>
      <w:r w:rsidRPr="005141FB">
        <w:t>nology relating to life insurance underwriting</w:t>
      </w:r>
    </w:p>
    <w:p w:rsidR="00000000" w:rsidRPr="005141FB" w:rsidP="005141FB">
      <w:pPr>
        <w:pStyle w:val="ListBullet2"/>
      </w:pPr>
      <w:r w:rsidRPr="005141FB">
        <w:t>medical risks relating to life insurance underwriting</w:t>
      </w:r>
    </w:p>
    <w:p w:rsidR="00000000" w:rsidRPr="005141FB" w:rsidP="005141FB">
      <w:pPr>
        <w:pStyle w:val="ListBullet2"/>
      </w:pPr>
      <w:r w:rsidRPr="005141FB">
        <w:t>financial risks relating to life insurance underwriting</w:t>
      </w:r>
    </w:p>
    <w:p w:rsidR="00000000" w:rsidRPr="005141FB" w:rsidP="005141FB">
      <w:pPr>
        <w:pStyle w:val="ListBullet2"/>
      </w:pPr>
      <w:r w:rsidRPr="005141FB">
        <w:t>occupational risks relating to life insurance underwriting</w:t>
      </w:r>
    </w:p>
    <w:p w:rsidR="00000000" w:rsidRPr="005141FB" w:rsidP="005141FB">
      <w:pPr>
        <w:pStyle w:val="ListBullet2"/>
      </w:pPr>
      <w:r w:rsidRPr="005141FB">
        <w:t>actuarial data and medical information required to underwrite complex medical risks</w:t>
      </w:r>
    </w:p>
    <w:p w:rsidR="00000000" w:rsidRPr="005141FB" w:rsidP="005141FB">
      <w:pPr>
        <w:pStyle w:val="ListBullet"/>
      </w:pPr>
      <w:r w:rsidRPr="005141FB">
        <w:t>key implications of underwriting risks for a life insurance organisation</w:t>
      </w:r>
    </w:p>
    <w:p w:rsidR="00000000" w:rsidRPr="005141FB" w:rsidP="005141FB">
      <w:pPr>
        <w:pStyle w:val="ListBullet"/>
      </w:pPr>
      <w:r w:rsidRPr="005141FB">
        <w:t>risk-acceptance criteria for different types and contexts of complex risks</w:t>
      </w:r>
    </w:p>
    <w:p w:rsidR="00000000" w:rsidRPr="005141FB" w:rsidP="005141FB">
      <w:pPr>
        <w:pStyle w:val="ListBullet"/>
      </w:pPr>
      <w:r w:rsidRPr="005141FB">
        <w:t>risk-handling technique</w:t>
      </w:r>
      <w:r w:rsidRPr="005141FB">
        <w:t>s used to mitigate risk used in life insurance underwriting</w:t>
      </w:r>
    </w:p>
    <w:p w:rsidR="00000000" w:rsidRPr="005141FB" w:rsidP="005141FB">
      <w:pPr>
        <w:pStyle w:val="ListBullet"/>
      </w:pPr>
      <w:r w:rsidRPr="005141FB">
        <w:t>ethical risk factors and related implications for underwriting complex risks</w:t>
      </w:r>
    </w:p>
    <w:p w:rsidR="00000000" w:rsidRPr="005141FB" w:rsidP="005141FB">
      <w:pPr>
        <w:pStyle w:val="ListBullet"/>
      </w:pPr>
      <w:r w:rsidRPr="005141FB">
        <w:t>sources of financial and lifestyle information relating to underwriting complex risks</w:t>
      </w:r>
    </w:p>
    <w:p w:rsidR="00000000" w:rsidRPr="005141FB" w:rsidP="005141FB">
      <w:pPr>
        <w:pStyle w:val="ListBullet"/>
      </w:pPr>
      <w:r w:rsidRPr="005141FB">
        <w:t>terms and conditions that minimis</w:t>
      </w:r>
      <w:r w:rsidRPr="005141FB">
        <w:t>e risk liability</w:t>
      </w:r>
    </w:p>
    <w:p w:rsidR="00000000" w:rsidRPr="005141FB" w:rsidP="005141FB">
      <w:pPr>
        <w:pStyle w:val="ListBullet"/>
      </w:pPr>
      <w:r w:rsidRPr="005141FB">
        <w:t>key methods and rationales used in assessing acceptability of risk.</w:t>
      </w:r>
    </w:p>
    <w:p w:rsidR="00000000" w:rsidRPr="005141FB" w:rsidP="005141FB">
      <w:pPr>
        <w:pStyle w:val="AllowPageBreak"/>
      </w:pPr>
    </w:p>
    <w:p w:rsidR="00000000" w:rsidRPr="005141FB" w:rsidP="005141FB">
      <w:pPr>
        <w:pStyle w:val="Heading1"/>
      </w:pPr>
      <w:bookmarkStart w:id="4" w:name="O_1218401"/>
      <w:bookmarkEnd w:id="4"/>
      <w:r w:rsidRPr="005141FB">
        <w:t>Assessment Conditions</w:t>
      </w:r>
    </w:p>
    <w:p w:rsidR="00000000" w:rsidRPr="005141FB" w:rsidP="005D0B4C">
      <w:pPr>
        <w:pStyle w:val="BodyText"/>
      </w:pPr>
      <w:r w:rsidRPr="005141FB">
        <w:t>Skills in this unit must be demonstrated in a workplace or simulated environment where the conditions are typical of those in a wo</w:t>
      </w:r>
      <w:r w:rsidRPr="005141FB">
        <w:t>rking environment in this industry.</w:t>
      </w:r>
    </w:p>
    <w:p w:rsidR="00000000" w:rsidRPr="005141FB" w:rsidP="005D0B4C">
      <w:pPr>
        <w:pStyle w:val="BodyText"/>
      </w:pPr>
      <w:r w:rsidRPr="005141FB">
        <w:t>This includes access to:</w:t>
      </w:r>
    </w:p>
    <w:p w:rsidR="00000000" w:rsidRPr="005141FB" w:rsidP="005141FB">
      <w:pPr>
        <w:pStyle w:val="ListBullet"/>
      </w:pPr>
      <w:r w:rsidRPr="005141FB">
        <w:t>office equipment, technology, software and consumables</w:t>
      </w:r>
    </w:p>
    <w:p w:rsidR="00000000" w:rsidRPr="005141FB" w:rsidP="005141FB">
      <w:pPr>
        <w:pStyle w:val="ListBullet"/>
      </w:pPr>
      <w:r w:rsidRPr="005141FB">
        <w:t>organisational records, policies and procedures.</w:t>
      </w:r>
    </w:p>
    <w:p w:rsidR="00000000" w:rsidRPr="005141FB" w:rsidP="005141FB">
      <w:pPr>
        <w:pStyle w:val="BodyText"/>
      </w:pPr>
    </w:p>
    <w:p w:rsidR="00000000" w:rsidRPr="005141FB" w:rsidP="005D0B4C">
      <w:pPr>
        <w:pStyle w:val="BodyText"/>
      </w:pPr>
      <w:r w:rsidRPr="005141FB">
        <w:t>Assessors of this unit must satisfy the requirements for a</w:t>
      </w:r>
      <w:r w:rsidRPr="005141FB">
        <w:t>ssessors in applicable vocational education and training legislation, frameworks and/or standards.</w:t>
      </w:r>
    </w:p>
    <w:p w:rsidR="00000000" w:rsidRPr="005141FB" w:rsidP="005141FB">
      <w:pPr>
        <w:pStyle w:val="Heading1"/>
      </w:pPr>
      <w:bookmarkStart w:id="5" w:name="O_1218404"/>
      <w:bookmarkEnd w:id="5"/>
      <w:r w:rsidRPr="005141FB">
        <w:t>Links</w:t>
      </w:r>
    </w:p>
    <w:p w:rsidR="00000000" w:rsidRPr="005141FB" w:rsidP="005D0B4C">
      <w:pPr>
        <w:pStyle w:val="BodyText"/>
      </w:pPr>
      <w:r w:rsidRPr="005141F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01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41FB" w:rsidP="005141FB"/>
    <w:sectPr w:rsidSect="00514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FB" w:rsidRPr="005D0B4C" w:rsidP="005D0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4C" w:rsidP="00514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B4C" w:rsidP="00514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B4C" w:rsidP="00514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1FB" w:rsidRPr="005D0B4C" w:rsidP="005D0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4C" w:rsidRPr="002D2AF8" w:rsidP="00514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FNSILF512 Underwrite complex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D0B4C" w:rsidP="00514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2E1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F64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B65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1FB"/>
  </w:style>
  <w:style w:type="character" w:customStyle="1" w:styleId="Heading1Char">
    <w:name w:val="Heading 1 Char"/>
    <w:basedOn w:val="DefaultParagraphFont"/>
    <w:link w:val="Heading1"/>
    <w:rsid w:val="00514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1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1FB"/>
    <w:rPr>
      <w:b/>
      <w:spacing w:val="0"/>
    </w:rPr>
  </w:style>
  <w:style w:type="paragraph" w:styleId="ListBullet2">
    <w:name w:val="List Bullet 2"/>
    <w:basedOn w:val="List2"/>
    <w:rsid w:val="005141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1FB"/>
    <w:rPr>
      <w:i/>
    </w:rPr>
  </w:style>
  <w:style w:type="paragraph" w:styleId="Caption">
    <w:name w:val="caption"/>
    <w:basedOn w:val="BodyText"/>
    <w:next w:val="Normal"/>
    <w:qFormat/>
    <w:rsid w:val="00514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1FB"/>
  </w:style>
  <w:style w:type="paragraph" w:styleId="TableofFigures">
    <w:name w:val="table of figures"/>
    <w:basedOn w:val="Normal"/>
    <w:next w:val="Normal"/>
    <w:semiHidden/>
    <w:rsid w:val="00514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1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1FB"/>
    <w:rPr>
      <w:rFonts w:ascii="Wingdings" w:hAnsi="Wingdings"/>
    </w:rPr>
  </w:style>
  <w:style w:type="paragraph" w:customStyle="1" w:styleId="TableHeading">
    <w:name w:val="Table Heading"/>
    <w:basedOn w:val="HeadingBase"/>
    <w:rsid w:val="00514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1FB"/>
    <w:rPr>
      <w:color w:val="0033CC"/>
      <w:u w:val="none"/>
    </w:rPr>
  </w:style>
  <w:style w:type="paragraph" w:customStyle="1" w:styleId="BodyTextRight">
    <w:name w:val="Body Text Right"/>
    <w:basedOn w:val="BodyText"/>
    <w:rsid w:val="00514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1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1FB"/>
    <w:rPr>
      <w:sz w:val="32"/>
    </w:rPr>
  </w:style>
  <w:style w:type="paragraph" w:customStyle="1" w:styleId="HeadingProcedure">
    <w:name w:val="Heading Procedure"/>
    <w:basedOn w:val="HeadingBase"/>
    <w:next w:val="Normal"/>
    <w:rsid w:val="00514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1FB"/>
    <w:pPr>
      <w:spacing w:before="60" w:after="60"/>
    </w:pPr>
  </w:style>
  <w:style w:type="paragraph" w:styleId="ListContinue">
    <w:name w:val="List Continue"/>
    <w:basedOn w:val="List"/>
    <w:rsid w:val="005141FB"/>
    <w:pPr>
      <w:ind w:firstLine="0"/>
    </w:pPr>
  </w:style>
  <w:style w:type="paragraph" w:customStyle="1" w:styleId="ListNote">
    <w:name w:val="List Note"/>
    <w:basedOn w:val="List"/>
    <w:rsid w:val="00514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1FB"/>
    <w:rPr>
      <w:rFonts w:ascii="Courier New" w:hAnsi="Courier New"/>
    </w:rPr>
  </w:style>
  <w:style w:type="paragraph" w:customStyle="1" w:styleId="NoteBullet">
    <w:name w:val="Note Bullet"/>
    <w:basedOn w:val="Note"/>
    <w:rsid w:val="00514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1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1FB"/>
    <w:rPr>
      <w:b/>
      <w:smallCaps/>
    </w:rPr>
  </w:style>
  <w:style w:type="paragraph" w:customStyle="1" w:styleId="TableListNumber">
    <w:name w:val="Table List Number"/>
    <w:basedOn w:val="ListNumber"/>
    <w:rsid w:val="00514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1FB"/>
    <w:pPr>
      <w:numPr>
        <w:numId w:val="9"/>
      </w:numPr>
    </w:pPr>
  </w:style>
  <w:style w:type="paragraph" w:customStyle="1" w:styleId="ListAlpha2">
    <w:name w:val="List Alpha 2"/>
    <w:basedOn w:val="List2"/>
    <w:rsid w:val="005141FB"/>
    <w:pPr>
      <w:numPr>
        <w:numId w:val="8"/>
      </w:numPr>
    </w:pPr>
  </w:style>
  <w:style w:type="paragraph" w:styleId="List2">
    <w:name w:val="List 2"/>
    <w:basedOn w:val="BodyText"/>
    <w:rsid w:val="00514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1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1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1FB"/>
    <w:pPr>
      <w:numPr>
        <w:numId w:val="4"/>
      </w:numPr>
    </w:pPr>
  </w:style>
  <w:style w:type="paragraph" w:styleId="ListContinue2">
    <w:name w:val="List Continue 2"/>
    <w:basedOn w:val="List2"/>
    <w:rsid w:val="005141FB"/>
    <w:pPr>
      <w:ind w:firstLine="0"/>
    </w:pPr>
  </w:style>
  <w:style w:type="paragraph" w:styleId="ListContinue3">
    <w:name w:val="List Continue 3"/>
    <w:basedOn w:val="List3"/>
    <w:rsid w:val="005141FB"/>
    <w:pPr>
      <w:ind w:left="1021" w:firstLine="0"/>
    </w:pPr>
  </w:style>
  <w:style w:type="paragraph" w:styleId="ListContinue4">
    <w:name w:val="List Continue 4"/>
    <w:basedOn w:val="List4"/>
    <w:rsid w:val="005141FB"/>
    <w:pPr>
      <w:ind w:firstLine="0"/>
    </w:pPr>
  </w:style>
  <w:style w:type="paragraph" w:styleId="ListContinue5">
    <w:name w:val="List Continue 5"/>
    <w:basedOn w:val="List5"/>
    <w:rsid w:val="005141FB"/>
    <w:pPr>
      <w:ind w:firstLine="0"/>
    </w:pPr>
  </w:style>
  <w:style w:type="paragraph" w:styleId="ListNumber3">
    <w:name w:val="List Number 3"/>
    <w:basedOn w:val="List3"/>
    <w:rsid w:val="005141FB"/>
    <w:pPr>
      <w:numPr>
        <w:numId w:val="5"/>
      </w:numPr>
    </w:pPr>
  </w:style>
  <w:style w:type="paragraph" w:styleId="ListNumber4">
    <w:name w:val="List Number 4"/>
    <w:basedOn w:val="List4"/>
    <w:rsid w:val="005141FB"/>
    <w:pPr>
      <w:numPr>
        <w:numId w:val="6"/>
      </w:numPr>
    </w:pPr>
  </w:style>
  <w:style w:type="paragraph" w:styleId="ListNumber5">
    <w:name w:val="List Number 5"/>
    <w:basedOn w:val="List5"/>
    <w:rsid w:val="005141FB"/>
    <w:pPr>
      <w:numPr>
        <w:numId w:val="7"/>
      </w:numPr>
    </w:pPr>
  </w:style>
  <w:style w:type="paragraph" w:styleId="BlockText">
    <w:name w:val="Block Text"/>
    <w:basedOn w:val="Normal"/>
    <w:rsid w:val="00514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1FB"/>
    <w:rPr>
      <w:sz w:val="16"/>
      <w:vertAlign w:val="superscript"/>
    </w:rPr>
  </w:style>
  <w:style w:type="character" w:customStyle="1" w:styleId="Symbols">
    <w:name w:val="Symbols"/>
    <w:basedOn w:val="DefaultParagraphFont"/>
    <w:rsid w:val="005141FB"/>
    <w:rPr>
      <w:rFonts w:ascii="Symbol" w:hAnsi="Symbol"/>
    </w:rPr>
  </w:style>
  <w:style w:type="character" w:customStyle="1" w:styleId="MenuOptions">
    <w:name w:val="Menu Options"/>
    <w:basedOn w:val="DefaultParagraphFont"/>
    <w:rsid w:val="00514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1FB"/>
    <w:rPr>
      <w:b/>
    </w:rPr>
  </w:style>
  <w:style w:type="character" w:customStyle="1" w:styleId="Underlined">
    <w:name w:val="Underlined"/>
    <w:basedOn w:val="DefaultParagraphFont"/>
    <w:rsid w:val="005141FB"/>
    <w:rPr>
      <w:u w:val="single"/>
    </w:rPr>
  </w:style>
  <w:style w:type="paragraph" w:customStyle="1" w:styleId="TableBodyTextRight">
    <w:name w:val="Table Body Text Right"/>
    <w:basedOn w:val="TableBodyText"/>
    <w:rsid w:val="00514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1FB"/>
    <w:rPr>
      <w:sz w:val="18"/>
    </w:rPr>
  </w:style>
  <w:style w:type="paragraph" w:customStyle="1" w:styleId="BodySmallRight">
    <w:name w:val="Body Small Right"/>
    <w:basedOn w:val="BodyTextRight"/>
    <w:rsid w:val="005141FB"/>
    <w:rPr>
      <w:sz w:val="18"/>
      <w:szCs w:val="18"/>
    </w:rPr>
  </w:style>
  <w:style w:type="paragraph" w:customStyle="1" w:styleId="MarginEdition">
    <w:name w:val="Margin Edition"/>
    <w:basedOn w:val="MarginNote"/>
    <w:rsid w:val="00514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1FB"/>
    <w:rPr>
      <w:sz w:val="2"/>
      <w:szCs w:val="2"/>
    </w:rPr>
  </w:style>
  <w:style w:type="character" w:customStyle="1" w:styleId="Small">
    <w:name w:val="Small"/>
    <w:basedOn w:val="DefaultParagraphFont"/>
    <w:rsid w:val="005141FB"/>
    <w:rPr>
      <w:sz w:val="16"/>
    </w:rPr>
  </w:style>
  <w:style w:type="paragraph" w:customStyle="1" w:styleId="WideTable">
    <w:name w:val="Wide Table"/>
    <w:basedOn w:val="Normal"/>
    <w:rsid w:val="00514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1FB"/>
  </w:style>
  <w:style w:type="paragraph" w:styleId="Quote">
    <w:name w:val="Quote"/>
    <w:basedOn w:val="Heading1"/>
    <w:link w:val="QuoteChar"/>
    <w:qFormat/>
    <w:rsid w:val="00514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1FB"/>
    <w:pPr>
      <w:pageBreakBefore/>
    </w:pPr>
  </w:style>
  <w:style w:type="paragraph" w:customStyle="1" w:styleId="Border">
    <w:name w:val="Border"/>
    <w:basedOn w:val="Normal"/>
    <w:qFormat/>
    <w:rsid w:val="00514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1FB"/>
    <w:rPr>
      <w:u w:val="single"/>
    </w:rPr>
  </w:style>
  <w:style w:type="character" w:customStyle="1" w:styleId="BoldandItalics">
    <w:name w:val="Bold and Italics"/>
    <w:qFormat/>
    <w:rsid w:val="005141FB"/>
    <w:rPr>
      <w:b/>
      <w:i/>
      <w:u w:val="none"/>
    </w:rPr>
  </w:style>
  <w:style w:type="paragraph" w:styleId="BalloonText">
    <w:name w:val="Balloon Text"/>
    <w:basedOn w:val="Normal"/>
    <w:link w:val="BalloonTextChar"/>
    <w:rsid w:val="00514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1FB"/>
    <w:pPr>
      <w:spacing w:before="0" w:after="0"/>
    </w:pPr>
  </w:style>
  <w:style w:type="paragraph" w:customStyle="1" w:styleId="BodyTextBold">
    <w:name w:val="Body Text Bold"/>
    <w:basedOn w:val="BodyText"/>
    <w:qFormat/>
    <w:rsid w:val="005141FB"/>
    <w:rPr>
      <w:b/>
    </w:rPr>
  </w:style>
  <w:style w:type="character" w:styleId="Hyperlink">
    <w:name w:val="Hyperlink"/>
    <w:basedOn w:val="DefaultParagraphFont"/>
    <w:uiPriority w:val="99"/>
    <w:unhideWhenUsed/>
    <w:rsid w:val="005D0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2872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FNSILF512 Underwrite complex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