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064" w:rsidP="007F4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FNSILF503 Underwrite complex non-medical risks</w:t>
      </w:r>
      <w:r>
        <w:fldChar w:fldCharType="end"/>
      </w:r>
    </w:p>
    <w:p w:rsidR="007F4064" w:rsidP="007F4064">
      <w:pPr>
        <w:pStyle w:val="Version"/>
        <w:sectPr w:rsidSect="00154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D2D" w:rsidP="00154D2D">
      <w:pPr>
        <w:pStyle w:val="SuperHeading"/>
      </w:pPr>
      <w:r w:rsidRPr="00154D2D">
        <w:t>Assessment Requirements for FNSILF503 Underwrite complex non-medical risks</w:t>
      </w:r>
    </w:p>
    <w:p w:rsidR="00000000" w:rsidRPr="00154D2D" w:rsidP="00154D2D">
      <w:pPr>
        <w:pStyle w:val="Heading1"/>
      </w:pPr>
      <w:bookmarkStart w:id="1" w:name="O_678270"/>
      <w:bookmarkEnd w:id="1"/>
      <w:r w:rsidRPr="00154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2D" w:rsidP="00154D2D">
            <w:pPr>
              <w:pStyle w:val="BodyText"/>
            </w:pPr>
            <w:r w:rsidRPr="00154D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2D">
            <w:pPr>
              <w:pStyle w:val="BodyText"/>
              <w:rPr>
                <w:lang w:val="en-NZ"/>
              </w:rPr>
            </w:pPr>
            <w:r w:rsidRPr="00154D2D">
              <w:rPr>
                <w:rStyle w:val="SpecialBold"/>
              </w:rPr>
              <w:t>Comments</w:t>
            </w:r>
          </w:p>
        </w:tc>
      </w:tr>
      <w:tr w:rsidTr="0015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D2D">
            <w:pPr>
              <w:pStyle w:val="BodyText"/>
              <w:rPr>
                <w:lang w:val="en-NZ"/>
              </w:rPr>
            </w:pPr>
            <w:r w:rsidRPr="00154D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D2D" w:rsidP="00154D2D">
            <w:pPr>
              <w:pStyle w:val="BodyText"/>
            </w:pPr>
            <w:r w:rsidRPr="00154D2D">
              <w:t>This version first released with FNS Financial Services Training Package Version 1.0.</w:t>
            </w:r>
          </w:p>
        </w:tc>
      </w:tr>
    </w:tbl>
    <w:p w:rsidR="00000000" w:rsidRPr="00154D2D" w:rsidP="00154D2D">
      <w:pPr>
        <w:pStyle w:val="BodyText"/>
      </w:pPr>
    </w:p>
    <w:p w:rsidR="00000000" w:rsidRPr="00154D2D" w:rsidP="00154D2D">
      <w:pPr>
        <w:pStyle w:val="AllowPageBreak"/>
      </w:pPr>
    </w:p>
    <w:p w:rsidR="00000000" w:rsidRPr="00154D2D" w:rsidP="00154D2D">
      <w:pPr>
        <w:pStyle w:val="Heading1"/>
      </w:pPr>
      <w:bookmarkStart w:id="2" w:name="O_678271"/>
      <w:bookmarkEnd w:id="2"/>
      <w:r w:rsidRPr="00154D2D">
        <w:t>Performance Evidence</w:t>
      </w:r>
    </w:p>
    <w:p w:rsidR="00000000" w:rsidRPr="00154D2D" w:rsidP="007F4064">
      <w:pPr>
        <w:pStyle w:val="BodyText"/>
      </w:pPr>
      <w:r w:rsidRPr="00154D2D">
        <w:t>Evidence of the ability to:</w:t>
      </w:r>
    </w:p>
    <w:p w:rsidR="00000000" w:rsidRPr="00154D2D" w:rsidP="00154D2D">
      <w:pPr>
        <w:pStyle w:val="ListBullet"/>
      </w:pPr>
      <w:r w:rsidRPr="00154D2D">
        <w:t>prepare and document life insurance policy that involves complex non-medical covering:</w:t>
      </w:r>
    </w:p>
    <w:p w:rsidR="00000000" w:rsidRPr="00154D2D" w:rsidP="00154D2D">
      <w:pPr>
        <w:pStyle w:val="ListBullet2"/>
      </w:pPr>
      <w:r w:rsidRPr="00154D2D">
        <w:t>identification of financial and lifestyle risk factors, and application of appropriate risks rating criteria and syste</w:t>
      </w:r>
      <w:r w:rsidRPr="00154D2D">
        <w:t>ms for underwriting the risk</w:t>
      </w:r>
    </w:p>
    <w:p w:rsidR="00000000" w:rsidRPr="00154D2D" w:rsidP="00154D2D">
      <w:pPr>
        <w:pStyle w:val="ListBullet2"/>
      </w:pPr>
      <w:r w:rsidRPr="00154D2D">
        <w:t>terms and conditions relevant to underwriting complex non-medical risks.</w:t>
      </w:r>
    </w:p>
    <w:p w:rsidR="00000000" w:rsidRPr="00154D2D" w:rsidP="00154D2D">
      <w:pPr>
        <w:pStyle w:val="BodyText"/>
      </w:pPr>
    </w:p>
    <w:p w:rsidR="00000000" w:rsidRPr="00154D2D" w:rsidP="007F4064">
      <w:pPr>
        <w:pStyle w:val="BodyText"/>
      </w:pPr>
      <w:r w:rsidRPr="00154D2D">
        <w:t>Note: If a specific volume or frequency is not stated, then evidence must be provided at least once.</w:t>
      </w:r>
    </w:p>
    <w:p w:rsidR="00000000" w:rsidRPr="00154D2D" w:rsidP="00154D2D">
      <w:pPr>
        <w:pStyle w:val="Heading1"/>
      </w:pPr>
      <w:bookmarkStart w:id="3" w:name="O_678272"/>
      <w:bookmarkEnd w:id="3"/>
      <w:r w:rsidRPr="00154D2D">
        <w:t>Knowledge Evidence</w:t>
      </w:r>
    </w:p>
    <w:p w:rsidR="00000000" w:rsidRPr="00154D2D" w:rsidP="007F4064">
      <w:pPr>
        <w:pStyle w:val="BodyText"/>
      </w:pPr>
      <w:r w:rsidRPr="00154D2D">
        <w:t>To complete the unit requirements safely and effectively, the individual must:</w:t>
      </w:r>
    </w:p>
    <w:p w:rsidR="00000000" w:rsidRPr="00154D2D" w:rsidP="00154D2D">
      <w:pPr>
        <w:pStyle w:val="ListBullet"/>
      </w:pPr>
      <w:r w:rsidRPr="00154D2D">
        <w:t>identify relevant actuarial and underwriting information associated with non-medical risk</w:t>
      </w:r>
    </w:p>
    <w:p w:rsidR="00000000" w:rsidRPr="00154D2D" w:rsidP="00154D2D">
      <w:pPr>
        <w:pStyle w:val="ListBullet"/>
      </w:pPr>
      <w:r w:rsidRPr="00154D2D">
        <w:t>explain key features of policy guidelines, administrative requirements and organisatio</w:t>
      </w:r>
      <w:r w:rsidRPr="00154D2D">
        <w:t>nal procedures in the underwriting industry</w:t>
      </w:r>
    </w:p>
    <w:p w:rsidR="00000000" w:rsidRPr="00154D2D" w:rsidP="00154D2D">
      <w:pPr>
        <w:pStyle w:val="ListBullet"/>
      </w:pPr>
      <w:r w:rsidRPr="00154D2D">
        <w:t>explain life insurance policy terms and conditions</w:t>
      </w:r>
    </w:p>
    <w:p w:rsidR="00000000" w:rsidRPr="00154D2D" w:rsidP="00154D2D">
      <w:pPr>
        <w:pStyle w:val="ListBullet"/>
      </w:pPr>
      <w:r w:rsidRPr="00154D2D">
        <w:t>explain life insurance risk management practices</w:t>
      </w:r>
    </w:p>
    <w:p w:rsidR="00000000" w:rsidRPr="00154D2D" w:rsidP="00154D2D">
      <w:pPr>
        <w:pStyle w:val="ListBullet"/>
      </w:pPr>
      <w:r w:rsidRPr="00154D2D">
        <w:t>describe the various types of non-medical risks and their implications for life insurance underwriting</w:t>
      </w:r>
    </w:p>
    <w:p w:rsidR="00000000" w:rsidRPr="00154D2D" w:rsidP="00154D2D">
      <w:pPr>
        <w:pStyle w:val="ListBullet"/>
      </w:pPr>
      <w:r w:rsidRPr="00154D2D">
        <w:t xml:space="preserve">identify </w:t>
      </w:r>
      <w:r w:rsidRPr="00154D2D">
        <w:t>relevant regulatory requirements</w:t>
      </w:r>
    </w:p>
    <w:p w:rsidR="00000000" w:rsidRPr="00154D2D" w:rsidP="00154D2D">
      <w:pPr>
        <w:pStyle w:val="ListBullet"/>
      </w:pPr>
      <w:r w:rsidRPr="00154D2D">
        <w:t>outline sources of relevant financial and lifestyle information</w:t>
      </w:r>
    </w:p>
    <w:p w:rsidR="00000000" w:rsidRPr="00154D2D" w:rsidP="00154D2D">
      <w:pPr>
        <w:pStyle w:val="ListBullet"/>
      </w:pPr>
      <w:r w:rsidRPr="00154D2D">
        <w:t>describe types of financial and lifestyle risk and actuarial considerations</w:t>
      </w:r>
    </w:p>
    <w:p w:rsidR="00000000" w:rsidRPr="00154D2D" w:rsidP="00154D2D">
      <w:pPr>
        <w:pStyle w:val="ListBullet"/>
      </w:pPr>
      <w:r w:rsidRPr="00154D2D">
        <w:t>distinguish between medical and non-medical risks in the context of life insurance underwriting</w:t>
      </w:r>
    </w:p>
    <w:p w:rsidR="00000000" w:rsidRPr="00154D2D" w:rsidP="00154D2D">
      <w:pPr>
        <w:pStyle w:val="ListBullet"/>
      </w:pPr>
      <w:r w:rsidRPr="00154D2D">
        <w:t>outline moral risk factors and their implications to underwriting non-medical risks.</w:t>
      </w:r>
    </w:p>
    <w:p w:rsidR="00000000" w:rsidRPr="00154D2D" w:rsidP="00154D2D">
      <w:pPr>
        <w:pStyle w:val="AllowPageBreak"/>
      </w:pPr>
    </w:p>
    <w:p w:rsidR="00000000" w:rsidRPr="00154D2D" w:rsidP="00154D2D">
      <w:pPr>
        <w:pStyle w:val="Heading1"/>
      </w:pPr>
      <w:bookmarkStart w:id="4" w:name="O_678273"/>
      <w:bookmarkEnd w:id="4"/>
      <w:r w:rsidRPr="00154D2D">
        <w:t>Assessment Conditions</w:t>
      </w:r>
    </w:p>
    <w:p w:rsidR="00000000" w:rsidRPr="00154D2D" w:rsidP="007F4064">
      <w:pPr>
        <w:pStyle w:val="BodyText"/>
      </w:pPr>
      <w:r w:rsidRPr="00154D2D">
        <w:t>Assessment must be conducted in a sa</w:t>
      </w:r>
      <w:r w:rsidRPr="00154D2D">
        <w:t>fe environment where evidence gathered demonstrates consistent performance of typical activities experienced in the life insurance field of work and include access to:</w:t>
      </w:r>
    </w:p>
    <w:p w:rsidR="00000000" w:rsidRPr="00154D2D" w:rsidP="00154D2D">
      <w:pPr>
        <w:pStyle w:val="ListBullet"/>
      </w:pPr>
      <w:r w:rsidRPr="00154D2D">
        <w:t>office equipment, technology, software and consumables</w:t>
      </w:r>
    </w:p>
    <w:p w:rsidR="00000000" w:rsidRPr="00154D2D" w:rsidP="00154D2D">
      <w:pPr>
        <w:pStyle w:val="ListBullet"/>
      </w:pPr>
      <w:r w:rsidRPr="00154D2D">
        <w:t>organisational records, policy a</w:t>
      </w:r>
      <w:r w:rsidRPr="00154D2D">
        <w:t>nd procedures.</w:t>
      </w:r>
    </w:p>
    <w:p w:rsidR="00000000" w:rsidRPr="00154D2D" w:rsidP="00154D2D">
      <w:pPr>
        <w:pStyle w:val="BodyText"/>
      </w:pPr>
    </w:p>
    <w:p w:rsidR="00000000" w:rsidRPr="00154D2D" w:rsidP="007F4064">
      <w:pPr>
        <w:pStyle w:val="BodyText"/>
      </w:pPr>
      <w:r w:rsidRPr="00154D2D">
        <w:t>Assessors must satisfy NVR/AQTF assessor requirements.</w:t>
      </w:r>
    </w:p>
    <w:p w:rsidR="00000000" w:rsidRPr="00154D2D" w:rsidP="00154D2D">
      <w:pPr>
        <w:pStyle w:val="Heading1"/>
      </w:pPr>
      <w:bookmarkStart w:id="5" w:name="O_678276"/>
      <w:bookmarkEnd w:id="5"/>
      <w:r w:rsidRPr="00154D2D">
        <w:t>Links</w:t>
      </w:r>
    </w:p>
    <w:p w:rsidR="00000000" w:rsidRPr="00154D2D" w:rsidP="007F4064">
      <w:pPr>
        <w:pStyle w:val="BodyText"/>
      </w:pPr>
      <w:r w:rsidRPr="00154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7CE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4D2D" w:rsidP="00154D2D"/>
    <w:sectPr w:rsidSect="00154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D" w:rsidRPr="007F4064" w:rsidP="007F4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64" w:rsidP="00154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064" w:rsidP="00154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4064" w:rsidP="00154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D2D" w:rsidRPr="007F4064" w:rsidP="007F4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64" w:rsidRPr="002D2AF8" w:rsidP="00154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FNSILF503 Underwrite complex non-medical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7F4064" w:rsidP="00154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6A5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6E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2A1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D2D"/>
  </w:style>
  <w:style w:type="character" w:customStyle="1" w:styleId="Heading1Char">
    <w:name w:val="Heading 1 Char"/>
    <w:basedOn w:val="DefaultParagraphFont"/>
    <w:link w:val="Heading1"/>
    <w:rsid w:val="00154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D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D2D"/>
    <w:rPr>
      <w:b/>
      <w:spacing w:val="0"/>
    </w:rPr>
  </w:style>
  <w:style w:type="paragraph" w:styleId="ListBullet2">
    <w:name w:val="List Bullet 2"/>
    <w:basedOn w:val="List2"/>
    <w:rsid w:val="00154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D2D"/>
    <w:rPr>
      <w:i/>
    </w:rPr>
  </w:style>
  <w:style w:type="paragraph" w:styleId="Caption">
    <w:name w:val="caption"/>
    <w:basedOn w:val="BodyText"/>
    <w:next w:val="Normal"/>
    <w:qFormat/>
    <w:rsid w:val="00154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D2D"/>
  </w:style>
  <w:style w:type="paragraph" w:styleId="TableofFigures">
    <w:name w:val="table of figures"/>
    <w:basedOn w:val="Normal"/>
    <w:next w:val="Normal"/>
    <w:semiHidden/>
    <w:rsid w:val="00154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D2D"/>
    <w:rPr>
      <w:rFonts w:ascii="Wingdings" w:hAnsi="Wingdings"/>
    </w:rPr>
  </w:style>
  <w:style w:type="paragraph" w:customStyle="1" w:styleId="TableHeading">
    <w:name w:val="Table Heading"/>
    <w:basedOn w:val="HeadingBase"/>
    <w:rsid w:val="00154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D2D"/>
    <w:rPr>
      <w:color w:val="0033CC"/>
      <w:u w:val="none"/>
    </w:rPr>
  </w:style>
  <w:style w:type="paragraph" w:customStyle="1" w:styleId="BodyTextRight">
    <w:name w:val="Body Text Right"/>
    <w:basedOn w:val="BodyText"/>
    <w:rsid w:val="00154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D2D"/>
    <w:rPr>
      <w:sz w:val="32"/>
    </w:rPr>
  </w:style>
  <w:style w:type="paragraph" w:customStyle="1" w:styleId="HeadingProcedure">
    <w:name w:val="Heading Procedure"/>
    <w:basedOn w:val="HeadingBase"/>
    <w:next w:val="Normal"/>
    <w:rsid w:val="00154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D2D"/>
    <w:pPr>
      <w:spacing w:before="60" w:after="60"/>
    </w:pPr>
  </w:style>
  <w:style w:type="paragraph" w:styleId="ListContinue">
    <w:name w:val="List Continue"/>
    <w:basedOn w:val="List"/>
    <w:rsid w:val="00154D2D"/>
    <w:pPr>
      <w:ind w:firstLine="0"/>
    </w:pPr>
  </w:style>
  <w:style w:type="paragraph" w:customStyle="1" w:styleId="ListNote">
    <w:name w:val="List Note"/>
    <w:basedOn w:val="List"/>
    <w:rsid w:val="00154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D2D"/>
    <w:rPr>
      <w:rFonts w:ascii="Courier New" w:hAnsi="Courier New"/>
    </w:rPr>
  </w:style>
  <w:style w:type="paragraph" w:customStyle="1" w:styleId="NoteBullet">
    <w:name w:val="Note Bullet"/>
    <w:basedOn w:val="Note"/>
    <w:rsid w:val="00154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D2D"/>
    <w:rPr>
      <w:b/>
      <w:smallCaps/>
    </w:rPr>
  </w:style>
  <w:style w:type="paragraph" w:customStyle="1" w:styleId="TableListNumber">
    <w:name w:val="Table List Number"/>
    <w:basedOn w:val="ListNumber"/>
    <w:rsid w:val="00154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D2D"/>
    <w:pPr>
      <w:numPr>
        <w:numId w:val="9"/>
      </w:numPr>
    </w:pPr>
  </w:style>
  <w:style w:type="paragraph" w:customStyle="1" w:styleId="ListAlpha2">
    <w:name w:val="List Alpha 2"/>
    <w:basedOn w:val="List2"/>
    <w:rsid w:val="00154D2D"/>
    <w:pPr>
      <w:numPr>
        <w:numId w:val="8"/>
      </w:numPr>
    </w:pPr>
  </w:style>
  <w:style w:type="paragraph" w:styleId="List2">
    <w:name w:val="List 2"/>
    <w:basedOn w:val="BodyText"/>
    <w:rsid w:val="00154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D2D"/>
    <w:pPr>
      <w:numPr>
        <w:numId w:val="4"/>
      </w:numPr>
    </w:pPr>
  </w:style>
  <w:style w:type="paragraph" w:styleId="ListContinue2">
    <w:name w:val="List Continue 2"/>
    <w:basedOn w:val="List2"/>
    <w:rsid w:val="00154D2D"/>
    <w:pPr>
      <w:ind w:firstLine="0"/>
    </w:pPr>
  </w:style>
  <w:style w:type="paragraph" w:styleId="ListContinue3">
    <w:name w:val="List Continue 3"/>
    <w:basedOn w:val="List3"/>
    <w:rsid w:val="00154D2D"/>
    <w:pPr>
      <w:ind w:left="1021" w:firstLine="0"/>
    </w:pPr>
  </w:style>
  <w:style w:type="paragraph" w:styleId="ListContinue4">
    <w:name w:val="List Continue 4"/>
    <w:basedOn w:val="List4"/>
    <w:rsid w:val="00154D2D"/>
    <w:pPr>
      <w:ind w:firstLine="0"/>
    </w:pPr>
  </w:style>
  <w:style w:type="paragraph" w:styleId="ListContinue5">
    <w:name w:val="List Continue 5"/>
    <w:basedOn w:val="List5"/>
    <w:rsid w:val="00154D2D"/>
    <w:pPr>
      <w:ind w:firstLine="0"/>
    </w:pPr>
  </w:style>
  <w:style w:type="paragraph" w:styleId="ListNumber3">
    <w:name w:val="List Number 3"/>
    <w:basedOn w:val="List3"/>
    <w:rsid w:val="00154D2D"/>
    <w:pPr>
      <w:numPr>
        <w:numId w:val="5"/>
      </w:numPr>
    </w:pPr>
  </w:style>
  <w:style w:type="paragraph" w:styleId="ListNumber4">
    <w:name w:val="List Number 4"/>
    <w:basedOn w:val="List4"/>
    <w:rsid w:val="00154D2D"/>
    <w:pPr>
      <w:numPr>
        <w:numId w:val="6"/>
      </w:numPr>
    </w:pPr>
  </w:style>
  <w:style w:type="paragraph" w:styleId="ListNumber5">
    <w:name w:val="List Number 5"/>
    <w:basedOn w:val="List5"/>
    <w:rsid w:val="00154D2D"/>
    <w:pPr>
      <w:numPr>
        <w:numId w:val="7"/>
      </w:numPr>
    </w:pPr>
  </w:style>
  <w:style w:type="paragraph" w:styleId="BlockText">
    <w:name w:val="Block Text"/>
    <w:basedOn w:val="Normal"/>
    <w:rsid w:val="00154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D2D"/>
    <w:rPr>
      <w:sz w:val="16"/>
      <w:vertAlign w:val="superscript"/>
    </w:rPr>
  </w:style>
  <w:style w:type="character" w:customStyle="1" w:styleId="Symbols">
    <w:name w:val="Symbols"/>
    <w:basedOn w:val="DefaultParagraphFont"/>
    <w:rsid w:val="00154D2D"/>
    <w:rPr>
      <w:rFonts w:ascii="Symbol" w:hAnsi="Symbol"/>
    </w:rPr>
  </w:style>
  <w:style w:type="character" w:customStyle="1" w:styleId="MenuOptions">
    <w:name w:val="Menu Options"/>
    <w:basedOn w:val="DefaultParagraphFont"/>
    <w:rsid w:val="00154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D2D"/>
    <w:rPr>
      <w:b/>
    </w:rPr>
  </w:style>
  <w:style w:type="character" w:customStyle="1" w:styleId="Underlined">
    <w:name w:val="Underlined"/>
    <w:basedOn w:val="DefaultParagraphFont"/>
    <w:rsid w:val="00154D2D"/>
    <w:rPr>
      <w:u w:val="single"/>
    </w:rPr>
  </w:style>
  <w:style w:type="paragraph" w:customStyle="1" w:styleId="TableBodyTextRight">
    <w:name w:val="Table Body Text Right"/>
    <w:basedOn w:val="TableBodyText"/>
    <w:rsid w:val="00154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D2D"/>
    <w:rPr>
      <w:sz w:val="18"/>
    </w:rPr>
  </w:style>
  <w:style w:type="paragraph" w:customStyle="1" w:styleId="BodySmallRight">
    <w:name w:val="Body Small Right"/>
    <w:basedOn w:val="BodyTextRight"/>
    <w:rsid w:val="00154D2D"/>
    <w:rPr>
      <w:sz w:val="18"/>
      <w:szCs w:val="18"/>
    </w:rPr>
  </w:style>
  <w:style w:type="paragraph" w:customStyle="1" w:styleId="MarginEdition">
    <w:name w:val="Margin Edition"/>
    <w:basedOn w:val="MarginNote"/>
    <w:rsid w:val="00154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D2D"/>
    <w:rPr>
      <w:sz w:val="2"/>
      <w:szCs w:val="2"/>
    </w:rPr>
  </w:style>
  <w:style w:type="character" w:customStyle="1" w:styleId="Small">
    <w:name w:val="Small"/>
    <w:basedOn w:val="DefaultParagraphFont"/>
    <w:rsid w:val="00154D2D"/>
    <w:rPr>
      <w:sz w:val="16"/>
    </w:rPr>
  </w:style>
  <w:style w:type="paragraph" w:customStyle="1" w:styleId="WideTable">
    <w:name w:val="Wide Table"/>
    <w:basedOn w:val="Normal"/>
    <w:rsid w:val="00154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D2D"/>
  </w:style>
  <w:style w:type="paragraph" w:styleId="Quote">
    <w:name w:val="Quote"/>
    <w:basedOn w:val="Heading1"/>
    <w:link w:val="QuoteChar"/>
    <w:qFormat/>
    <w:rsid w:val="00154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D2D"/>
    <w:pPr>
      <w:pageBreakBefore/>
    </w:pPr>
  </w:style>
  <w:style w:type="paragraph" w:customStyle="1" w:styleId="Border">
    <w:name w:val="Border"/>
    <w:basedOn w:val="Normal"/>
    <w:qFormat/>
    <w:rsid w:val="00154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D2D"/>
    <w:rPr>
      <w:u w:val="single"/>
    </w:rPr>
  </w:style>
  <w:style w:type="character" w:customStyle="1" w:styleId="BoldandItalics">
    <w:name w:val="Bold and Italics"/>
    <w:qFormat/>
    <w:rsid w:val="00154D2D"/>
    <w:rPr>
      <w:b/>
      <w:i/>
      <w:u w:val="none"/>
    </w:rPr>
  </w:style>
  <w:style w:type="paragraph" w:styleId="BalloonText">
    <w:name w:val="Balloon Text"/>
    <w:basedOn w:val="Normal"/>
    <w:link w:val="BalloonTextChar"/>
    <w:rsid w:val="00154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D2D"/>
    <w:pPr>
      <w:spacing w:before="0" w:after="0"/>
    </w:pPr>
  </w:style>
  <w:style w:type="paragraph" w:customStyle="1" w:styleId="BodyTextBold">
    <w:name w:val="Body Text Bold"/>
    <w:basedOn w:val="BodyText"/>
    <w:qFormat/>
    <w:rsid w:val="00154D2D"/>
    <w:rPr>
      <w:b/>
    </w:rPr>
  </w:style>
  <w:style w:type="character" w:styleId="Hyperlink">
    <w:name w:val="Hyperlink"/>
    <w:basedOn w:val="DefaultParagraphFont"/>
    <w:uiPriority w:val="99"/>
    <w:unhideWhenUsed/>
    <w:rsid w:val="007F4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2058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FNSILF503 Underwrite complex non-medical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2021-07-09T06:28:00Z</dcterms:created>
  <dcterms:modified xsi:type="dcterms:W3CDTF">2021-07-09T06:28:00Z</dcterms:modified>
</cp:coreProperties>
</file>