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299" w:rsidP="00100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FNSILF502 Underwrite complex medical risks</w:t>
      </w:r>
      <w:r>
        <w:fldChar w:fldCharType="end"/>
      </w:r>
    </w:p>
    <w:p w:rsidR="00100299" w:rsidP="00100299">
      <w:pPr>
        <w:pStyle w:val="Version"/>
        <w:sectPr w:rsidSect="00762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E7E" w:rsidP="00762E7E">
      <w:pPr>
        <w:pStyle w:val="SuperHeading"/>
      </w:pPr>
      <w:r w:rsidRPr="00762E7E">
        <w:t>FNSILF502 Underwrite complex medical risks</w:t>
      </w:r>
    </w:p>
    <w:p w:rsidR="00000000" w:rsidRPr="00762E7E" w:rsidP="00762E7E">
      <w:pPr>
        <w:pStyle w:val="Heading1"/>
      </w:pPr>
      <w:bookmarkStart w:id="1" w:name="O_678222"/>
      <w:bookmarkEnd w:id="1"/>
      <w:r w:rsidRPr="00762E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rPr>
                <w:rStyle w:val="SpecialBold"/>
              </w:rPr>
              <w:t>Comments</w:t>
            </w:r>
          </w:p>
        </w:tc>
      </w:tr>
      <w:tr w:rsidTr="0076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t>This version first released with FNS Financial Services Training Package Version 1.0.</w:t>
            </w:r>
          </w:p>
        </w:tc>
      </w:tr>
    </w:tbl>
    <w:p w:rsidR="00000000" w:rsidRPr="00762E7E" w:rsidP="00762E7E">
      <w:pPr>
        <w:pStyle w:val="BodyText"/>
      </w:pPr>
    </w:p>
    <w:p w:rsidR="00000000" w:rsidRPr="00762E7E" w:rsidP="00762E7E">
      <w:pPr>
        <w:pStyle w:val="AllowPageBreak"/>
      </w:pPr>
    </w:p>
    <w:p w:rsidR="00000000" w:rsidRPr="00762E7E" w:rsidP="00762E7E">
      <w:pPr>
        <w:pStyle w:val="Heading1"/>
      </w:pPr>
      <w:bookmarkStart w:id="2" w:name="O_678223"/>
      <w:bookmarkEnd w:id="2"/>
      <w:r w:rsidRPr="00762E7E">
        <w:t>Application</w:t>
      </w:r>
    </w:p>
    <w:p w:rsidR="00000000" w:rsidRPr="00762E7E" w:rsidP="00100299">
      <w:pPr>
        <w:pStyle w:val="BodyText"/>
      </w:pPr>
      <w:r w:rsidRPr="00762E7E">
        <w:t>This unit describes the skills and knowledge required to apply complex medical risk assess</w:t>
      </w:r>
      <w:r w:rsidRPr="00762E7E">
        <w:t>ments to the underwriting of a life insurance application.</w:t>
      </w:r>
    </w:p>
    <w:p w:rsidR="00000000" w:rsidRPr="00762E7E" w:rsidP="00100299">
      <w:pPr>
        <w:pStyle w:val="BodyText"/>
      </w:pPr>
      <w:r w:rsidRPr="00762E7E">
        <w:t>It applies to individuals who use specialised knowledge to determine risk and make decisions, within a level of delegated authority, about complex underwriting functions.</w:t>
      </w:r>
    </w:p>
    <w:p w:rsidR="00000000" w:rsidRPr="00762E7E" w:rsidP="00100299">
      <w:pPr>
        <w:pStyle w:val="BodyText"/>
      </w:pPr>
      <w:r w:rsidRPr="00762E7E">
        <w:t>No licensing, legislativ</w:t>
      </w:r>
      <w:r w:rsidRPr="00762E7E">
        <w:t>e or certification requirements apply to this unit at the time of publication.</w:t>
      </w:r>
    </w:p>
    <w:p w:rsidR="00000000" w:rsidRPr="00762E7E" w:rsidP="00762E7E">
      <w:pPr>
        <w:pStyle w:val="Heading1"/>
      </w:pPr>
      <w:bookmarkStart w:id="3" w:name="O_678226"/>
      <w:bookmarkEnd w:id="3"/>
      <w:r w:rsidRPr="00762E7E">
        <w:t>Unit Sector</w:t>
      </w:r>
    </w:p>
    <w:p w:rsidR="00000000" w:rsidRPr="00762E7E" w:rsidP="00100299">
      <w:pPr>
        <w:pStyle w:val="BodyText"/>
      </w:pPr>
      <w:r w:rsidRPr="00762E7E">
        <w:t>Life insurance</w:t>
      </w:r>
    </w:p>
    <w:p w:rsidR="00000000" w:rsidRPr="00762E7E" w:rsidP="00762E7E">
      <w:pPr>
        <w:pStyle w:val="Heading1"/>
      </w:pPr>
      <w:bookmarkStart w:id="4" w:name="O_678227"/>
      <w:bookmarkEnd w:id="4"/>
      <w:r w:rsidRPr="00762E7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2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rPr>
                <w:rStyle w:val="SpecialBold"/>
              </w:rPr>
              <w:t>PERFORMANCE CRITERIA</w:t>
            </w:r>
          </w:p>
        </w:tc>
      </w:tr>
      <w:tr w:rsidTr="00762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2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1. Identify medical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t>1.1 Review applications and associated documentation to identify relevant medical information</w:t>
            </w:r>
          </w:p>
          <w:p w:rsidR="00000000" w:rsidRPr="00762E7E" w:rsidP="00762E7E">
            <w:pPr>
              <w:pStyle w:val="BodyText"/>
            </w:pPr>
            <w:r w:rsidRPr="00762E7E">
              <w:t>1.2 Interpret medical information to id</w:t>
            </w:r>
            <w:r w:rsidRPr="00762E7E">
              <w:t>entify medical risk factors</w:t>
            </w:r>
          </w:p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1.3 Review need for additional medical information and collect as appropriate</w:t>
            </w:r>
          </w:p>
        </w:tc>
      </w:tr>
      <w:tr w:rsidTr="00762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2. Identify underwriting significance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t>2.1 Identify potential life risk implications of supplied medical information according to organisational requirements</w:t>
            </w:r>
          </w:p>
          <w:p w:rsidR="00000000" w:rsidRPr="00762E7E" w:rsidP="00762E7E">
            <w:pPr>
              <w:pStyle w:val="BodyText"/>
            </w:pPr>
            <w:r w:rsidRPr="00762E7E">
              <w:t xml:space="preserve">2.2 Determine interrelationships between medical conditions and </w:t>
            </w:r>
            <w:r w:rsidRPr="00762E7E">
              <w:t>identify medical risk factor implications</w:t>
            </w:r>
          </w:p>
          <w:p w:rsidR="00000000" w:rsidRPr="00762E7E" w:rsidP="00762E7E">
            <w:pPr>
              <w:pStyle w:val="BodyText"/>
            </w:pPr>
            <w:r w:rsidRPr="00762E7E">
              <w:t>2.3 Identify long-term risk imp</w:t>
            </w:r>
            <w:r w:rsidRPr="00762E7E">
              <w:t>lications of medical treatment and recovery processes</w:t>
            </w:r>
          </w:p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2.4 Select and apply appropriate medical risk rating systems and risk handling techniques</w:t>
            </w:r>
          </w:p>
        </w:tc>
      </w:tr>
      <w:tr w:rsidTr="00762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3. Determine risk acceptance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t>3.1 Identify risk acceptance criteria to suit type and context of risk in</w:t>
            </w:r>
            <w:r w:rsidRPr="00762E7E">
              <w:t xml:space="preserve"> accordance with procedures</w:t>
            </w:r>
          </w:p>
          <w:p w:rsidR="00000000" w:rsidRPr="00762E7E" w:rsidP="00762E7E">
            <w:pPr>
              <w:pStyle w:val="BodyText"/>
            </w:pPr>
            <w:r w:rsidRPr="00762E7E">
              <w:t>3.2 Assess adequacy of medical information against risk acceptance criteria in accordance with procedures</w:t>
            </w:r>
          </w:p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3.3 Consult with relevant personnel within organisation where clarification is sought on adequacy of medical information p</w:t>
            </w:r>
            <w:r w:rsidRPr="00762E7E">
              <w:t>rovided</w:t>
            </w:r>
          </w:p>
        </w:tc>
      </w:tr>
      <w:tr w:rsidTr="00762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4. Prepare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t>4.1 Develop terms of acceptance in accordance with market conditions and accepted levels of exposure</w:t>
            </w:r>
          </w:p>
          <w:p w:rsidR="00000000" w:rsidRPr="00762E7E" w:rsidP="00762E7E">
            <w:pPr>
              <w:pStyle w:val="BodyText"/>
            </w:pPr>
            <w:r w:rsidRPr="00762E7E">
              <w:t>4.2 Document life insurance policy with terms and conditions in accordance with procedures and regulatory require</w:t>
            </w:r>
            <w:r w:rsidRPr="00762E7E">
              <w:t>ments</w:t>
            </w:r>
          </w:p>
        </w:tc>
      </w:tr>
    </w:tbl>
    <w:p w:rsidR="00000000" w:rsidRPr="00762E7E" w:rsidP="00762E7E">
      <w:pPr>
        <w:pStyle w:val="BodyText"/>
      </w:pPr>
    </w:p>
    <w:p w:rsidR="00000000" w:rsidRPr="00762E7E" w:rsidP="00762E7E">
      <w:pPr>
        <w:pStyle w:val="AllowPageBreak"/>
      </w:pPr>
    </w:p>
    <w:p w:rsidR="00000000" w:rsidRPr="00762E7E" w:rsidP="00762E7E">
      <w:pPr>
        <w:pStyle w:val="Heading1"/>
      </w:pPr>
      <w:bookmarkStart w:id="5" w:name="O_678228"/>
      <w:bookmarkEnd w:id="5"/>
      <w:r w:rsidRPr="00762E7E">
        <w:t>Foundation Skills</w:t>
      </w:r>
    </w:p>
    <w:p w:rsidR="00000000" w:rsidRPr="00100299" w:rsidP="00100299">
      <w:pPr>
        <w:pStyle w:val="BodyText"/>
        <w:rPr>
          <w:i/>
        </w:rPr>
      </w:pPr>
      <w:r w:rsidRPr="0010029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rPr>
                <w:rStyle w:val="SpecialBold"/>
              </w:rPr>
              <w:t>Description</w:t>
            </w:r>
          </w:p>
        </w:tc>
      </w:tr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1.1-1.3, 2.1-2.4,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ListBullet"/>
              <w:rPr>
                <w:lang w:val="en-NZ"/>
              </w:rPr>
            </w:pPr>
            <w:r w:rsidRPr="00762E7E">
              <w:t>Gathers, analyses, interprets and validates information of varying complexity from a range of sources and establishes required information</w:t>
            </w:r>
          </w:p>
        </w:tc>
      </w:tr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1.3, 4.1, 4.2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ListBullet"/>
            </w:pPr>
            <w:r w:rsidRPr="00762E7E">
              <w:t>Produces, edits and proofreads documents to ensure clarity of mea</w:t>
            </w:r>
            <w:r w:rsidRPr="00762E7E">
              <w:t>ning, and accuracy and consistency of information</w:t>
            </w:r>
          </w:p>
          <w:p w:rsidR="00000000" w:rsidP="00762E7E">
            <w:pPr>
              <w:pStyle w:val="ListBullet"/>
              <w:rPr>
                <w:lang w:val="en-NZ"/>
              </w:rPr>
            </w:pPr>
            <w:r w:rsidRPr="00762E7E">
              <w:t>Accurately records and completes organisational documents using clear language and correct spelling, grammar and terminology</w:t>
            </w:r>
          </w:p>
        </w:tc>
      </w:tr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1.3, 3.3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ListBullet"/>
            </w:pPr>
            <w:r w:rsidRPr="00762E7E">
              <w:t>Uses appropriate language and style to collect comp</w:t>
            </w:r>
            <w:r w:rsidRPr="00762E7E">
              <w:t>lex technical information</w:t>
            </w:r>
          </w:p>
          <w:p w:rsidR="00000000" w:rsidP="00762E7E">
            <w:pPr>
              <w:pStyle w:val="ListBullet"/>
              <w:rPr>
                <w:lang w:val="en-NZ"/>
              </w:rPr>
            </w:pPr>
            <w:r w:rsidRPr="00762E7E">
              <w:t>Uses techniques including active listening, use of open-ended questioning and paraphrasing to confirm understanding</w:t>
            </w:r>
          </w:p>
        </w:tc>
      </w:tr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2.4, 4.1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ListBullet"/>
              <w:rPr>
                <w:lang w:val="en-NZ"/>
              </w:rPr>
            </w:pPr>
            <w:r w:rsidRPr="00762E7E">
              <w:t>Uses mathematical equations to perform calculations to achieve desired outcomes</w:t>
            </w:r>
          </w:p>
        </w:tc>
      </w:tr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3.1, 3.2, 3.3, 4.1, 4.2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ListBullet"/>
            </w:pPr>
            <w:r w:rsidRPr="00762E7E">
              <w:t>Recognises and follows legislative requirements, and explicit and implicit protocols, policies and procedures</w:t>
            </w:r>
          </w:p>
          <w:p w:rsidR="00000000" w:rsidP="00762E7E">
            <w:pPr>
              <w:pStyle w:val="ListBullet"/>
              <w:rPr>
                <w:lang w:val="en-NZ"/>
              </w:rPr>
            </w:pPr>
            <w:r w:rsidRPr="00762E7E">
              <w:t>Maintains knowledge of market trends and regulations necessary to perform own role</w:t>
            </w:r>
          </w:p>
        </w:tc>
      </w:tr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Interact w</w:t>
            </w:r>
            <w:r w:rsidRPr="00762E7E">
              <w:t xml:space="preserve">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1.3, 3.3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ListBullet"/>
              <w:rPr>
                <w:lang w:val="en-NZ"/>
              </w:rPr>
            </w:pPr>
            <w:r w:rsidRPr="00762E7E">
              <w:t>Uses appropriate communication protocols and practices to liaise with others to elicit and share information</w:t>
            </w:r>
          </w:p>
        </w:tc>
      </w:tr>
      <w:tr w:rsidTr="00762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1.1-1.3, 2.1-2.4,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ListBullet"/>
            </w:pPr>
            <w:r w:rsidRPr="00762E7E">
              <w:t>Takes responsibility for planning, sequencing and prioritising tasks and own workload for efficiency and effectiveness</w:t>
            </w:r>
          </w:p>
          <w:p w:rsidR="00000000" w:rsidRPr="00762E7E" w:rsidP="00762E7E">
            <w:pPr>
              <w:pStyle w:val="ListBullet"/>
            </w:pPr>
            <w:r w:rsidRPr="00762E7E">
              <w:t>Applies systematic and analytical processes in complex or non-routine situations to make decisions about medical risk levels</w:t>
            </w:r>
          </w:p>
          <w:p w:rsidR="00000000" w:rsidRPr="00762E7E" w:rsidP="00762E7E">
            <w:pPr>
              <w:pStyle w:val="ListBullet"/>
            </w:pPr>
            <w:r w:rsidRPr="00762E7E">
              <w:t>Uses the mai</w:t>
            </w:r>
            <w:r w:rsidRPr="00762E7E">
              <w:t>n features and functions of digital tools to complete work tasks</w:t>
            </w:r>
          </w:p>
        </w:tc>
      </w:tr>
    </w:tbl>
    <w:p w:rsidR="00000000" w:rsidRPr="00762E7E" w:rsidP="00762E7E">
      <w:pPr>
        <w:pStyle w:val="BodyText"/>
      </w:pPr>
    </w:p>
    <w:p w:rsidR="00000000" w:rsidRPr="00762E7E" w:rsidP="00762E7E">
      <w:pPr>
        <w:pStyle w:val="AllowPageBreak"/>
      </w:pPr>
    </w:p>
    <w:p w:rsidR="00000000" w:rsidRPr="00762E7E" w:rsidP="00762E7E">
      <w:pPr>
        <w:pStyle w:val="Heading1"/>
      </w:pPr>
      <w:bookmarkStart w:id="6" w:name="O_678230"/>
      <w:bookmarkEnd w:id="6"/>
      <w:r w:rsidRPr="00762E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Code and title</w:t>
            </w:r>
          </w:p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Code and title</w:t>
            </w:r>
          </w:p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rPr>
                <w:rStyle w:val="SpecialBold"/>
              </w:rPr>
              <w:t>Equivalence status</w:t>
            </w:r>
          </w:p>
        </w:tc>
      </w:tr>
      <w:tr w:rsidTr="0076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FNSILF502 Underwrite complex 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FNSILF502A Underwrite complex 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Updated to meet Standards for Training Packages. 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t>Equivalent unit</w:t>
            </w:r>
          </w:p>
        </w:tc>
      </w:tr>
    </w:tbl>
    <w:p w:rsidR="00000000" w:rsidRPr="00762E7E" w:rsidP="00762E7E">
      <w:pPr>
        <w:pStyle w:val="BodyText"/>
      </w:pPr>
    </w:p>
    <w:p w:rsidR="00000000" w:rsidRPr="00762E7E" w:rsidP="00762E7E">
      <w:pPr>
        <w:pStyle w:val="AllowPageBreak"/>
      </w:pPr>
    </w:p>
    <w:p w:rsidR="00000000" w:rsidRPr="00762E7E" w:rsidP="00762E7E">
      <w:pPr>
        <w:pStyle w:val="Heading1"/>
      </w:pPr>
      <w:bookmarkStart w:id="7" w:name="O_678237"/>
      <w:bookmarkEnd w:id="7"/>
      <w:r w:rsidRPr="00762E7E">
        <w:t>Links</w:t>
      </w:r>
    </w:p>
    <w:p w:rsidR="00000000" w:rsidRPr="00762E7E" w:rsidP="00100299">
      <w:pPr>
        <w:pStyle w:val="BodyText"/>
      </w:pPr>
      <w:r w:rsidRPr="00762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599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62E7E" w:rsidP="00100299">
      <w:pPr>
        <w:pStyle w:val="BodyText"/>
        <w:sectPr w:rsidSect="00762E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2E7E" w:rsidP="00762E7E">
      <w:pPr>
        <w:pStyle w:val="SuperHeading"/>
      </w:pPr>
      <w:r w:rsidRPr="00762E7E">
        <w:t>Assessment Requirements for FNSILF502 Underwrite complex medical risks</w:t>
      </w:r>
    </w:p>
    <w:p w:rsidR="00000000" w:rsidRPr="00762E7E" w:rsidP="00762E7E">
      <w:pPr>
        <w:pStyle w:val="Heading1"/>
      </w:pPr>
      <w:bookmarkStart w:id="8" w:name="O_678232"/>
      <w:bookmarkEnd w:id="8"/>
      <w:r w:rsidRPr="00762E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rPr>
                <w:rStyle w:val="SpecialBold"/>
              </w:rPr>
              <w:t>Comments</w:t>
            </w:r>
          </w:p>
        </w:tc>
      </w:tr>
      <w:tr w:rsidTr="00762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7E">
            <w:pPr>
              <w:pStyle w:val="BodyText"/>
              <w:rPr>
                <w:lang w:val="en-NZ"/>
              </w:rPr>
            </w:pPr>
            <w:r w:rsidRPr="00762E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7E" w:rsidP="00762E7E">
            <w:pPr>
              <w:pStyle w:val="BodyText"/>
            </w:pPr>
            <w:r w:rsidRPr="00762E7E">
              <w:t>This version first released with FNS Financial Services Training Package Version 1.0.</w:t>
            </w:r>
          </w:p>
        </w:tc>
      </w:tr>
    </w:tbl>
    <w:p w:rsidR="00000000" w:rsidRPr="00762E7E" w:rsidP="00762E7E">
      <w:pPr>
        <w:pStyle w:val="BodyText"/>
      </w:pPr>
    </w:p>
    <w:p w:rsidR="00000000" w:rsidRPr="00762E7E" w:rsidP="00762E7E">
      <w:pPr>
        <w:pStyle w:val="AllowPageBreak"/>
      </w:pPr>
    </w:p>
    <w:p w:rsidR="00000000" w:rsidRPr="00762E7E" w:rsidP="00762E7E">
      <w:pPr>
        <w:pStyle w:val="Heading1"/>
      </w:pPr>
      <w:bookmarkStart w:id="9" w:name="O_678233"/>
      <w:bookmarkEnd w:id="9"/>
      <w:r w:rsidRPr="00762E7E">
        <w:t>Performance Evidence</w:t>
      </w:r>
    </w:p>
    <w:p w:rsidR="00000000" w:rsidRPr="00762E7E" w:rsidP="00100299">
      <w:pPr>
        <w:pStyle w:val="BodyText"/>
      </w:pPr>
      <w:r w:rsidRPr="00762E7E">
        <w:t>Evidence of the ability to:</w:t>
      </w:r>
    </w:p>
    <w:p w:rsidR="00000000" w:rsidRPr="00762E7E" w:rsidP="00762E7E">
      <w:pPr>
        <w:pStyle w:val="ListBullet"/>
      </w:pPr>
      <w:r w:rsidRPr="00762E7E">
        <w:t>prepare and document a life insurance policy that involves complex medical risk covering:</w:t>
      </w:r>
    </w:p>
    <w:p w:rsidR="00000000" w:rsidRPr="00762E7E" w:rsidP="00762E7E">
      <w:pPr>
        <w:pStyle w:val="ListBullet2"/>
      </w:pPr>
      <w:r w:rsidRPr="00762E7E">
        <w:t>identification of medical risk factors, and application of appropriate medical risks rating systems and techniques for underwriting the risk</w:t>
      </w:r>
    </w:p>
    <w:p w:rsidR="00000000" w:rsidRPr="00762E7E" w:rsidP="00762E7E">
      <w:pPr>
        <w:pStyle w:val="ListBullet2"/>
      </w:pPr>
      <w:r w:rsidRPr="00762E7E">
        <w:t>terms and conditions relevant to underwriting complex medical risks.</w:t>
      </w:r>
    </w:p>
    <w:p w:rsidR="00000000" w:rsidRPr="00762E7E" w:rsidP="00762E7E">
      <w:pPr>
        <w:pStyle w:val="BodyText"/>
      </w:pPr>
    </w:p>
    <w:p w:rsidR="00000000" w:rsidRPr="00762E7E" w:rsidP="00100299">
      <w:pPr>
        <w:pStyle w:val="BodyText"/>
      </w:pPr>
      <w:r w:rsidRPr="00762E7E">
        <w:t>Note: If a specific volume or frequency is no</w:t>
      </w:r>
      <w:r w:rsidRPr="00762E7E">
        <w:t>t stated, then evidence must be provided at least once.</w:t>
      </w:r>
    </w:p>
    <w:p w:rsidR="00000000" w:rsidRPr="00762E7E" w:rsidP="00762E7E">
      <w:pPr>
        <w:pStyle w:val="Heading1"/>
      </w:pPr>
      <w:bookmarkStart w:id="10" w:name="O_678234"/>
      <w:bookmarkEnd w:id="10"/>
      <w:r w:rsidRPr="00762E7E">
        <w:t>Knowledge Evidence</w:t>
      </w:r>
    </w:p>
    <w:p w:rsidR="00000000" w:rsidRPr="00762E7E" w:rsidP="00100299">
      <w:pPr>
        <w:pStyle w:val="BodyText"/>
      </w:pPr>
      <w:r w:rsidRPr="00762E7E">
        <w:t>To complete the unit requirements safely and effectively, the individual must:</w:t>
      </w:r>
    </w:p>
    <w:p w:rsidR="00000000" w:rsidRPr="00762E7E" w:rsidP="00762E7E">
      <w:pPr>
        <w:pStyle w:val="ListBullet"/>
      </w:pPr>
      <w:r w:rsidRPr="00762E7E">
        <w:t>explain life insurance policy terms and conditions</w:t>
      </w:r>
    </w:p>
    <w:p w:rsidR="00000000" w:rsidRPr="00762E7E" w:rsidP="00762E7E">
      <w:pPr>
        <w:pStyle w:val="ListBullet"/>
      </w:pPr>
      <w:r w:rsidRPr="00762E7E">
        <w:t>explain life insurance risk manag</w:t>
      </w:r>
      <w:r w:rsidRPr="00762E7E">
        <w:t>ement practices</w:t>
      </w:r>
    </w:p>
    <w:p w:rsidR="00000000" w:rsidRPr="00762E7E" w:rsidP="00762E7E">
      <w:pPr>
        <w:pStyle w:val="ListBullet"/>
      </w:pPr>
      <w:r w:rsidRPr="00762E7E">
        <w:t>describe relevant medical techniques, diseases, injuries and terminology relative to insurance underwriting</w:t>
      </w:r>
    </w:p>
    <w:p w:rsidR="00000000" w:rsidRPr="00762E7E" w:rsidP="00762E7E">
      <w:pPr>
        <w:pStyle w:val="ListBullet"/>
      </w:pPr>
      <w:r w:rsidRPr="00762E7E">
        <w:t>list types of medical risk and the implications for underwriting medical risks</w:t>
      </w:r>
    </w:p>
    <w:p w:rsidR="00000000" w:rsidRPr="00762E7E" w:rsidP="00762E7E">
      <w:pPr>
        <w:pStyle w:val="ListBullet"/>
      </w:pPr>
      <w:r w:rsidRPr="00762E7E">
        <w:t>identify relevant standards or codes to be complied w</w:t>
      </w:r>
      <w:r w:rsidRPr="00762E7E">
        <w:t>ith</w:t>
      </w:r>
    </w:p>
    <w:p w:rsidR="00000000" w:rsidRPr="00762E7E" w:rsidP="00762E7E">
      <w:pPr>
        <w:pStyle w:val="ListBullet"/>
      </w:pPr>
      <w:r w:rsidRPr="00762E7E">
        <w:t>identify relevant actuarial, underwriting and medical information relevant to underwriting complex medical risks</w:t>
      </w:r>
    </w:p>
    <w:p w:rsidR="00000000" w:rsidRPr="00762E7E" w:rsidP="00762E7E">
      <w:pPr>
        <w:pStyle w:val="ListBullet"/>
      </w:pPr>
      <w:r w:rsidRPr="00762E7E">
        <w:t>outline the key administrative requirements and relevant organisational procedures in underwriting complex medical risks</w:t>
      </w:r>
    </w:p>
    <w:p w:rsidR="00000000" w:rsidRPr="00762E7E" w:rsidP="00762E7E">
      <w:pPr>
        <w:pStyle w:val="ListBullet"/>
      </w:pPr>
      <w:r w:rsidRPr="00762E7E">
        <w:t>outline medical risk ratings systems and appropriate risk handling techniques to mitigate risk</w:t>
      </w:r>
    </w:p>
    <w:p w:rsidR="00000000" w:rsidRPr="00762E7E" w:rsidP="00762E7E">
      <w:pPr>
        <w:pStyle w:val="ListBullet"/>
      </w:pPr>
      <w:r w:rsidRPr="00762E7E">
        <w:t>outline risk acceptance criteria for different types and contexts of complex medical risks.</w:t>
      </w:r>
    </w:p>
    <w:p w:rsidR="00000000" w:rsidRPr="00762E7E" w:rsidP="00762E7E">
      <w:pPr>
        <w:pStyle w:val="AllowPageBreak"/>
      </w:pPr>
    </w:p>
    <w:p w:rsidR="00000000" w:rsidRPr="00762E7E" w:rsidP="00762E7E">
      <w:pPr>
        <w:pStyle w:val="Heading1"/>
      </w:pPr>
      <w:bookmarkStart w:id="11" w:name="O_678235"/>
      <w:bookmarkEnd w:id="11"/>
      <w:r w:rsidRPr="00762E7E">
        <w:t>Assessment Conditions</w:t>
      </w:r>
    </w:p>
    <w:p w:rsidR="00000000" w:rsidRPr="00762E7E" w:rsidP="00100299">
      <w:pPr>
        <w:pStyle w:val="BodyText"/>
      </w:pPr>
      <w:r w:rsidRPr="00762E7E">
        <w:t>Assessment must be conducted i</w:t>
      </w:r>
      <w:r w:rsidRPr="00762E7E">
        <w:t>n a safe environment where evidence gathered demonstrates consistent performance of typical activities experienced in the life insurance field of work and include access to:</w:t>
      </w:r>
    </w:p>
    <w:p w:rsidR="00000000" w:rsidRPr="00762E7E" w:rsidP="00762E7E">
      <w:pPr>
        <w:pStyle w:val="ListBullet"/>
      </w:pPr>
      <w:r w:rsidRPr="00762E7E">
        <w:t>office equipment, technology, software and consumables</w:t>
      </w:r>
    </w:p>
    <w:p w:rsidR="00000000" w:rsidRPr="00762E7E" w:rsidP="00762E7E">
      <w:pPr>
        <w:pStyle w:val="ListBullet"/>
      </w:pPr>
      <w:r w:rsidRPr="00762E7E">
        <w:t>organisational records, po</w:t>
      </w:r>
      <w:r w:rsidRPr="00762E7E">
        <w:t>licy and procedures.</w:t>
      </w:r>
    </w:p>
    <w:p w:rsidR="00000000" w:rsidRPr="00762E7E" w:rsidP="00762E7E">
      <w:pPr>
        <w:pStyle w:val="BodyText"/>
      </w:pPr>
    </w:p>
    <w:p w:rsidR="00000000" w:rsidRPr="00762E7E" w:rsidP="00100299">
      <w:pPr>
        <w:pStyle w:val="BodyText"/>
      </w:pPr>
      <w:r w:rsidRPr="00762E7E">
        <w:t>Assessors must satisfy NVR/AQTF assessor requirements.</w:t>
      </w:r>
    </w:p>
    <w:p w:rsidR="00000000" w:rsidRPr="00762E7E" w:rsidP="00762E7E">
      <w:pPr>
        <w:pStyle w:val="Heading1"/>
      </w:pPr>
      <w:bookmarkStart w:id="12" w:name="O_678238"/>
      <w:bookmarkEnd w:id="12"/>
      <w:r w:rsidRPr="00762E7E">
        <w:t>Links</w:t>
      </w:r>
    </w:p>
    <w:p w:rsidR="00000000" w:rsidRPr="00762E7E" w:rsidP="00100299">
      <w:pPr>
        <w:pStyle w:val="BodyText"/>
      </w:pPr>
      <w:r w:rsidRPr="00762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599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62E7E" w:rsidP="00762E7E"/>
    <w:sectPr w:rsidSect="00762E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7E" w:rsidRPr="00100299" w:rsidP="00100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99" w:rsidP="00762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299" w:rsidP="00762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0299" w:rsidP="00762E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7E" w:rsidP="00762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299">
      <w:t>Approved</w:t>
    </w:r>
    <w:r w:rsidR="001002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2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299">
      <w:rPr>
        <w:noProof/>
      </w:rPr>
      <w:t>4</w:t>
    </w:r>
    <w:r>
      <w:rPr>
        <w:noProof/>
      </w:rPr>
      <w:fldChar w:fldCharType="end"/>
    </w:r>
  </w:p>
  <w:p w:rsidR="00762E7E" w:rsidP="00762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2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299">
      <w:t>Future Skills Organisation</w:t>
    </w:r>
    <w:r w:rsidR="00100299">
      <w:fldChar w:fldCharType="end"/>
    </w:r>
  </w:p>
  <w:p w:rsidR="00762E7E" w:rsidP="00762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E7E" w:rsidRPr="00100299" w:rsidP="00100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99" w:rsidRPr="002D2AF8" w:rsidP="00762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FNSILF502 Underwrite complex medical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299" w:rsidP="00762E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7E" w:rsidRPr="002D2AF8" w:rsidP="00762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299">
      <w:t>FNSILF502 Underwrite complex medical risks</w:t>
    </w:r>
    <w:r w:rsidR="001002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299">
      <w:rPr>
        <w:noProof/>
      </w:rPr>
      <w:t>2 March 2025</w:t>
    </w:r>
    <w:r>
      <w:fldChar w:fldCharType="end"/>
    </w:r>
  </w:p>
  <w:p w:rsidR="00762E7E" w:rsidP="00762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A9F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A5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56F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E7E"/>
  </w:style>
  <w:style w:type="character" w:customStyle="1" w:styleId="Heading1Char">
    <w:name w:val="Heading 1 Char"/>
    <w:basedOn w:val="DefaultParagraphFont"/>
    <w:link w:val="Heading1"/>
    <w:rsid w:val="00762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E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E7E"/>
    <w:rPr>
      <w:b/>
      <w:spacing w:val="0"/>
    </w:rPr>
  </w:style>
  <w:style w:type="paragraph" w:styleId="ListBullet2">
    <w:name w:val="List Bullet 2"/>
    <w:basedOn w:val="List2"/>
    <w:rsid w:val="00762E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2E7E"/>
    <w:rPr>
      <w:i/>
    </w:rPr>
  </w:style>
  <w:style w:type="paragraph" w:customStyle="1" w:styleId="SuperHeading">
    <w:name w:val="SuperHeading"/>
    <w:basedOn w:val="Normal"/>
    <w:rsid w:val="00762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E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E7E"/>
  </w:style>
  <w:style w:type="paragraph" w:styleId="TableofFigures">
    <w:name w:val="table of figures"/>
    <w:basedOn w:val="Normal"/>
    <w:next w:val="Normal"/>
    <w:semiHidden/>
    <w:rsid w:val="00762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E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E7E"/>
    <w:rPr>
      <w:rFonts w:ascii="Wingdings" w:hAnsi="Wingdings"/>
    </w:rPr>
  </w:style>
  <w:style w:type="paragraph" w:customStyle="1" w:styleId="TableHeading">
    <w:name w:val="Table Heading"/>
    <w:basedOn w:val="HeadingBase"/>
    <w:rsid w:val="00762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E7E"/>
    <w:rPr>
      <w:color w:val="0033CC"/>
      <w:u w:val="none"/>
    </w:rPr>
  </w:style>
  <w:style w:type="paragraph" w:customStyle="1" w:styleId="BodyTextRight">
    <w:name w:val="Body Text Right"/>
    <w:basedOn w:val="BodyText"/>
    <w:rsid w:val="00762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E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E7E"/>
    <w:rPr>
      <w:sz w:val="32"/>
    </w:rPr>
  </w:style>
  <w:style w:type="paragraph" w:customStyle="1" w:styleId="HeadingProcedure">
    <w:name w:val="Heading Procedure"/>
    <w:basedOn w:val="HeadingBase"/>
    <w:next w:val="Normal"/>
    <w:rsid w:val="00762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E7E"/>
    <w:pPr>
      <w:spacing w:before="60" w:after="60"/>
    </w:pPr>
  </w:style>
  <w:style w:type="paragraph" w:styleId="ListContinue">
    <w:name w:val="List Continue"/>
    <w:basedOn w:val="List"/>
    <w:rsid w:val="00762E7E"/>
    <w:pPr>
      <w:ind w:firstLine="0"/>
    </w:pPr>
  </w:style>
  <w:style w:type="paragraph" w:customStyle="1" w:styleId="ListNote">
    <w:name w:val="List Note"/>
    <w:basedOn w:val="List"/>
    <w:rsid w:val="00762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E7E"/>
    <w:rPr>
      <w:rFonts w:ascii="Courier New" w:hAnsi="Courier New"/>
    </w:rPr>
  </w:style>
  <w:style w:type="paragraph" w:customStyle="1" w:styleId="NoteBullet">
    <w:name w:val="Note Bullet"/>
    <w:basedOn w:val="Note"/>
    <w:rsid w:val="00762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E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E7E"/>
    <w:rPr>
      <w:b/>
      <w:smallCaps/>
    </w:rPr>
  </w:style>
  <w:style w:type="paragraph" w:customStyle="1" w:styleId="TableListNumber">
    <w:name w:val="Table List Number"/>
    <w:basedOn w:val="ListNumber"/>
    <w:rsid w:val="00762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E7E"/>
    <w:pPr>
      <w:numPr>
        <w:numId w:val="9"/>
      </w:numPr>
    </w:pPr>
  </w:style>
  <w:style w:type="paragraph" w:customStyle="1" w:styleId="ListAlpha2">
    <w:name w:val="List Alpha 2"/>
    <w:basedOn w:val="List2"/>
    <w:rsid w:val="00762E7E"/>
    <w:pPr>
      <w:numPr>
        <w:numId w:val="8"/>
      </w:numPr>
    </w:pPr>
  </w:style>
  <w:style w:type="paragraph" w:styleId="List2">
    <w:name w:val="List 2"/>
    <w:basedOn w:val="BodyText"/>
    <w:rsid w:val="00762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E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E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E7E"/>
    <w:pPr>
      <w:numPr>
        <w:numId w:val="4"/>
      </w:numPr>
    </w:pPr>
  </w:style>
  <w:style w:type="paragraph" w:styleId="ListContinue2">
    <w:name w:val="List Continue 2"/>
    <w:basedOn w:val="List2"/>
    <w:rsid w:val="00762E7E"/>
    <w:pPr>
      <w:ind w:firstLine="0"/>
    </w:pPr>
  </w:style>
  <w:style w:type="paragraph" w:styleId="ListContinue3">
    <w:name w:val="List Continue 3"/>
    <w:basedOn w:val="List3"/>
    <w:rsid w:val="00762E7E"/>
    <w:pPr>
      <w:ind w:left="1021" w:firstLine="0"/>
    </w:pPr>
  </w:style>
  <w:style w:type="paragraph" w:styleId="ListContinue4">
    <w:name w:val="List Continue 4"/>
    <w:basedOn w:val="List4"/>
    <w:rsid w:val="00762E7E"/>
    <w:pPr>
      <w:ind w:firstLine="0"/>
    </w:pPr>
  </w:style>
  <w:style w:type="paragraph" w:styleId="ListContinue5">
    <w:name w:val="List Continue 5"/>
    <w:basedOn w:val="List5"/>
    <w:rsid w:val="00762E7E"/>
    <w:pPr>
      <w:ind w:firstLine="0"/>
    </w:pPr>
  </w:style>
  <w:style w:type="paragraph" w:styleId="ListNumber3">
    <w:name w:val="List Number 3"/>
    <w:basedOn w:val="List3"/>
    <w:rsid w:val="00762E7E"/>
    <w:pPr>
      <w:numPr>
        <w:numId w:val="5"/>
      </w:numPr>
    </w:pPr>
  </w:style>
  <w:style w:type="paragraph" w:styleId="ListNumber4">
    <w:name w:val="List Number 4"/>
    <w:basedOn w:val="List4"/>
    <w:rsid w:val="00762E7E"/>
    <w:pPr>
      <w:numPr>
        <w:numId w:val="6"/>
      </w:numPr>
    </w:pPr>
  </w:style>
  <w:style w:type="paragraph" w:styleId="ListNumber5">
    <w:name w:val="List Number 5"/>
    <w:basedOn w:val="List5"/>
    <w:rsid w:val="00762E7E"/>
    <w:pPr>
      <w:numPr>
        <w:numId w:val="7"/>
      </w:numPr>
    </w:pPr>
  </w:style>
  <w:style w:type="paragraph" w:styleId="BlockText">
    <w:name w:val="Block Text"/>
    <w:basedOn w:val="Normal"/>
    <w:rsid w:val="00762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E7E"/>
    <w:rPr>
      <w:sz w:val="16"/>
      <w:vertAlign w:val="superscript"/>
    </w:rPr>
  </w:style>
  <w:style w:type="character" w:customStyle="1" w:styleId="Symbols">
    <w:name w:val="Symbols"/>
    <w:basedOn w:val="DefaultParagraphFont"/>
    <w:rsid w:val="00762E7E"/>
    <w:rPr>
      <w:rFonts w:ascii="Symbol" w:hAnsi="Symbol"/>
    </w:rPr>
  </w:style>
  <w:style w:type="character" w:customStyle="1" w:styleId="MenuOptions">
    <w:name w:val="Menu Options"/>
    <w:basedOn w:val="DefaultParagraphFont"/>
    <w:rsid w:val="00762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E7E"/>
    <w:rPr>
      <w:b/>
    </w:rPr>
  </w:style>
  <w:style w:type="character" w:customStyle="1" w:styleId="Underlined">
    <w:name w:val="Underlined"/>
    <w:basedOn w:val="DefaultParagraphFont"/>
    <w:rsid w:val="00762E7E"/>
    <w:rPr>
      <w:u w:val="single"/>
    </w:rPr>
  </w:style>
  <w:style w:type="paragraph" w:customStyle="1" w:styleId="TableBodyTextRight">
    <w:name w:val="Table Body Text Right"/>
    <w:basedOn w:val="TableBodyText"/>
    <w:rsid w:val="00762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E7E"/>
    <w:rPr>
      <w:sz w:val="18"/>
    </w:rPr>
  </w:style>
  <w:style w:type="paragraph" w:customStyle="1" w:styleId="BodySmallRight">
    <w:name w:val="Body Small Right"/>
    <w:basedOn w:val="BodyTextRight"/>
    <w:rsid w:val="00762E7E"/>
    <w:rPr>
      <w:sz w:val="18"/>
      <w:szCs w:val="18"/>
    </w:rPr>
  </w:style>
  <w:style w:type="paragraph" w:customStyle="1" w:styleId="MarginEdition">
    <w:name w:val="Margin Edition"/>
    <w:basedOn w:val="MarginNote"/>
    <w:rsid w:val="00762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E7E"/>
    <w:rPr>
      <w:sz w:val="2"/>
      <w:szCs w:val="2"/>
    </w:rPr>
  </w:style>
  <w:style w:type="character" w:customStyle="1" w:styleId="Small">
    <w:name w:val="Small"/>
    <w:basedOn w:val="DefaultParagraphFont"/>
    <w:rsid w:val="00762E7E"/>
    <w:rPr>
      <w:sz w:val="16"/>
    </w:rPr>
  </w:style>
  <w:style w:type="paragraph" w:customStyle="1" w:styleId="WideTable">
    <w:name w:val="Wide Table"/>
    <w:basedOn w:val="Normal"/>
    <w:rsid w:val="00762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E7E"/>
  </w:style>
  <w:style w:type="paragraph" w:styleId="Quote">
    <w:name w:val="Quote"/>
    <w:basedOn w:val="Heading1"/>
    <w:link w:val="QuoteChar"/>
    <w:qFormat/>
    <w:rsid w:val="00762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E7E"/>
    <w:pPr>
      <w:pageBreakBefore/>
    </w:pPr>
  </w:style>
  <w:style w:type="paragraph" w:customStyle="1" w:styleId="Border">
    <w:name w:val="Border"/>
    <w:basedOn w:val="Normal"/>
    <w:qFormat/>
    <w:rsid w:val="00762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E7E"/>
    <w:rPr>
      <w:u w:val="single"/>
    </w:rPr>
  </w:style>
  <w:style w:type="character" w:customStyle="1" w:styleId="BoldandItalics">
    <w:name w:val="Bold and Italics"/>
    <w:qFormat/>
    <w:rsid w:val="00762E7E"/>
    <w:rPr>
      <w:b/>
      <w:i/>
      <w:u w:val="none"/>
    </w:rPr>
  </w:style>
  <w:style w:type="paragraph" w:styleId="BalloonText">
    <w:name w:val="Balloon Text"/>
    <w:basedOn w:val="Normal"/>
    <w:link w:val="BalloonTextChar"/>
    <w:rsid w:val="00762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E7E"/>
    <w:pPr>
      <w:spacing w:before="0" w:after="0"/>
    </w:pPr>
  </w:style>
  <w:style w:type="paragraph" w:customStyle="1" w:styleId="BodyTextBold">
    <w:name w:val="Body Text Bold"/>
    <w:basedOn w:val="BodyText"/>
    <w:qFormat/>
    <w:rsid w:val="00762E7E"/>
    <w:rPr>
      <w:b/>
    </w:rPr>
  </w:style>
  <w:style w:type="character" w:styleId="Hyperlink">
    <w:name w:val="Hyperlink"/>
    <w:basedOn w:val="DefaultParagraphFont"/>
    <w:uiPriority w:val="99"/>
    <w:unhideWhenUsed/>
    <w:rsid w:val="00100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5905</Characters>
  <Application>Microsoft Office Word</Application>
  <DocSecurity>0</DocSecurity>
  <Lines>210</Lines>
  <Paragraphs>130</Paragraphs>
  <ScaleCrop>false</ScaleCrop>
  <Company>Author-it Software Corporation Ltd.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FNSILF502 Underwrite complex medical risks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