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3E3" w:rsidP="008863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FNSILF411 Undertake the life risk underwriting process</w:t>
      </w:r>
      <w:r>
        <w:fldChar w:fldCharType="end"/>
      </w:r>
    </w:p>
    <w:p w:rsidR="008863E3" w:rsidP="008863E3">
      <w:pPr>
        <w:pStyle w:val="Version"/>
        <w:sectPr w:rsidSect="002A1B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1BAB" w:rsidP="002A1BAB">
      <w:pPr>
        <w:pStyle w:val="SuperHeading"/>
      </w:pPr>
      <w:r w:rsidRPr="002A1BAB">
        <w:t>FNSILF411 Undertake the life risk underwriting process</w:t>
      </w:r>
    </w:p>
    <w:p w:rsidR="00000000" w:rsidRPr="002A1BAB" w:rsidP="002A1BAB">
      <w:pPr>
        <w:pStyle w:val="Heading1"/>
      </w:pPr>
      <w:bookmarkStart w:id="1" w:name="O_1218293"/>
      <w:bookmarkEnd w:id="1"/>
      <w:r w:rsidRPr="002A1B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A1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BAB" w:rsidP="002A1BAB">
            <w:pPr>
              <w:pStyle w:val="BodyText"/>
            </w:pPr>
            <w:r w:rsidRPr="002A1BA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BAB">
            <w:pPr>
              <w:pStyle w:val="BodyText"/>
              <w:rPr>
                <w:lang w:val="en-NZ"/>
              </w:rPr>
            </w:pPr>
            <w:r w:rsidRPr="002A1BAB">
              <w:rPr>
                <w:rStyle w:val="SpecialBold"/>
              </w:rPr>
              <w:t>Comments</w:t>
            </w:r>
          </w:p>
        </w:tc>
      </w:tr>
      <w:tr w:rsidTr="002A1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BAB">
            <w:pPr>
              <w:pStyle w:val="BodyText"/>
              <w:rPr>
                <w:lang w:val="en-NZ"/>
              </w:rPr>
            </w:pPr>
            <w:r w:rsidRPr="002A1BA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BAB" w:rsidP="002A1BAB">
            <w:pPr>
              <w:pStyle w:val="BodyText"/>
            </w:pPr>
            <w:r w:rsidRPr="002A1BAB">
              <w:t>This version first released with FNS Financial Services Training Package Version 7.0.</w:t>
            </w:r>
          </w:p>
          <w:p w:rsidR="00000000" w:rsidRPr="002A1BAB" w:rsidP="002A1BAB">
            <w:pPr>
              <w:pStyle w:val="BodyText"/>
            </w:pPr>
            <w:r w:rsidRPr="002A1BAB">
              <w:t>Supersedes and is equivalent to FNSILF401 Contribute to the life risk underwriting process.</w:t>
            </w:r>
          </w:p>
          <w:p w:rsidR="00000000" w:rsidRPr="002A1BAB" w:rsidP="002A1BAB">
            <w:pPr>
              <w:pStyle w:val="BodyText"/>
            </w:pPr>
            <w:r w:rsidRPr="002A1BAB">
              <w:t>Minor chang</w:t>
            </w:r>
            <w:r w:rsidRPr="002A1BAB">
              <w:t>es to title, application, elements and foundation skills descriptions. Significant rewording of performance criteria. Performance evidence and knowledge evidence updated to clarify intent.</w:t>
            </w:r>
          </w:p>
        </w:tc>
      </w:tr>
    </w:tbl>
    <w:p w:rsidR="008863E3" w:rsidP="002A1BAB">
      <w:pPr>
        <w:pStyle w:val="BodyText"/>
      </w:pPr>
    </w:p>
    <w:p w:rsidR="008863E3" w:rsidP="002A1BAB">
      <w:pPr>
        <w:pStyle w:val="BodyText"/>
      </w:pPr>
    </w:p>
    <w:p w:rsidR="00000000" w:rsidRPr="002A1BAB" w:rsidP="002A1BAB">
      <w:pPr>
        <w:pStyle w:val="Heading1"/>
      </w:pPr>
      <w:bookmarkStart w:id="2" w:name="O_1218294"/>
      <w:bookmarkEnd w:id="2"/>
      <w:r w:rsidRPr="002A1BAB">
        <w:t>Application</w:t>
      </w:r>
    </w:p>
    <w:p w:rsidR="00000000" w:rsidRPr="002A1BAB" w:rsidP="008863E3">
      <w:pPr>
        <w:pStyle w:val="BodyText"/>
      </w:pPr>
      <w:r w:rsidRPr="002A1BAB">
        <w:t>This unit describes the skills an</w:t>
      </w:r>
      <w:r w:rsidRPr="002A1BAB">
        <w:t>d knowledge required to undertake risk assessments of applications for life insurance, including gathering and reviewing risk information and assessing it against risk-assessment criteria, in order to complete the underwriting process.</w:t>
      </w:r>
    </w:p>
    <w:p w:rsidR="00000000" w:rsidRPr="002A1BAB" w:rsidP="008863E3">
      <w:pPr>
        <w:pStyle w:val="BodyText"/>
      </w:pPr>
      <w:r w:rsidRPr="002A1BAB">
        <w:t xml:space="preserve">The unit applies to </w:t>
      </w:r>
      <w:r w:rsidRPr="002A1BAB">
        <w:t>individuals in underwriting roles, who use specialised knowledge and systematic approaches to analyse and evaluate information and make judgements within limits of delegated authority.</w:t>
      </w:r>
    </w:p>
    <w:p w:rsidR="00000000" w:rsidRPr="002A1BAB" w:rsidP="008863E3">
      <w:pPr>
        <w:pStyle w:val="BodyText"/>
      </w:pPr>
      <w:r w:rsidRPr="002A1BAB">
        <w:t>Work functions in the occupational areas where this unit may be used ar</w:t>
      </w:r>
      <w:r w:rsidRPr="002A1BAB">
        <w:t>e subject to regulatory requirements. Users are advised to check with the relevant state and territory regulatory authorities to confirm those requirements.</w:t>
      </w:r>
    </w:p>
    <w:p w:rsidR="00000000" w:rsidRPr="002A1BAB" w:rsidP="002A1BAB">
      <w:pPr>
        <w:pStyle w:val="Heading1"/>
      </w:pPr>
      <w:bookmarkStart w:id="3" w:name="O_1218297"/>
      <w:bookmarkEnd w:id="3"/>
      <w:r w:rsidRPr="002A1BAB">
        <w:t>Unit Sector</w:t>
      </w:r>
    </w:p>
    <w:p w:rsidR="00000000" w:rsidRPr="002A1BAB" w:rsidP="008863E3">
      <w:pPr>
        <w:pStyle w:val="BodyText"/>
      </w:pPr>
      <w:r w:rsidRPr="002A1BAB">
        <w:t>Life insurance</w:t>
      </w:r>
    </w:p>
    <w:p w:rsidR="00000000" w:rsidRPr="002A1BAB" w:rsidP="002A1BAB">
      <w:pPr>
        <w:pStyle w:val="Heading1"/>
      </w:pPr>
      <w:bookmarkStart w:id="4" w:name="O_1218298"/>
      <w:bookmarkEnd w:id="4"/>
      <w:r w:rsidRPr="002A1B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2A1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BAB" w:rsidP="002A1BAB">
            <w:pPr>
              <w:pStyle w:val="BodyText"/>
            </w:pPr>
            <w:r w:rsidRPr="002A1BAB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BAB">
            <w:pPr>
              <w:pStyle w:val="BodyText"/>
              <w:rPr>
                <w:lang w:val="en-NZ"/>
              </w:rPr>
            </w:pPr>
            <w:r w:rsidRPr="002A1BAB">
              <w:rPr>
                <w:rStyle w:val="SpecialBold"/>
              </w:rPr>
              <w:t>PERFORMANCE CRITERIA</w:t>
            </w:r>
          </w:p>
        </w:tc>
      </w:tr>
      <w:tr w:rsidTr="002A1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BAB" w:rsidP="002A1BAB">
            <w:pPr>
              <w:pStyle w:val="BodyText"/>
            </w:pPr>
            <w:r w:rsidRPr="002A1BAB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BAB">
            <w:pPr>
              <w:pStyle w:val="BodyText"/>
              <w:rPr>
                <w:lang w:val="en-NZ"/>
              </w:rPr>
            </w:pPr>
            <w:r w:rsidRPr="002A1B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1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BAB">
            <w:pPr>
              <w:pStyle w:val="List"/>
              <w:rPr>
                <w:lang w:val="en-NZ"/>
              </w:rPr>
            </w:pPr>
            <w:r w:rsidRPr="002A1BAB">
              <w:t xml:space="preserve">1. Identify risk factors </w:t>
            </w:r>
            <w:r w:rsidRPr="002A1BAB">
              <w:t xml:space="preserve">and evaluate life insurance application 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BAB" w:rsidP="002A1BAB">
            <w:pPr>
              <w:pStyle w:val="List"/>
            </w:pPr>
            <w:r w:rsidRPr="002A1BAB">
              <w:t>1.1 Identify applica</w:t>
            </w:r>
            <w:r w:rsidRPr="002A1BAB">
              <w:t xml:space="preserve">tion product type and benefit levels and </w:t>
            </w:r>
            <w:r w:rsidRPr="002A1BAB">
              <w:t>determine nature of risk factors to be assessed according to organisational policies and procedures</w:t>
            </w:r>
          </w:p>
          <w:p w:rsidR="00000000" w:rsidRPr="002A1BAB" w:rsidP="002A1BAB">
            <w:pPr>
              <w:pStyle w:val="List"/>
            </w:pPr>
            <w:r w:rsidRPr="002A1BAB">
              <w:t>1.2 Assess and evaluate application against risk-assessment criteria according to organisational policies and proce</w:t>
            </w:r>
            <w:r w:rsidRPr="002A1BAB">
              <w:t>dures</w:t>
            </w:r>
          </w:p>
          <w:p w:rsidR="00000000" w:rsidP="002A1BAB">
            <w:pPr>
              <w:pStyle w:val="List"/>
              <w:rPr>
                <w:lang w:val="en-NZ"/>
              </w:rPr>
            </w:pPr>
            <w:r w:rsidRPr="002A1BAB">
              <w:t>1.3 Identify and document risk factors</w:t>
            </w:r>
          </w:p>
        </w:tc>
      </w:tr>
      <w:tr w:rsidTr="002A1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BAB">
            <w:pPr>
              <w:pStyle w:val="List"/>
              <w:rPr>
                <w:lang w:val="en-NZ"/>
              </w:rPr>
            </w:pPr>
            <w:r w:rsidRPr="002A1BAB">
              <w:t>2. Obtain further information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BAB" w:rsidP="002A1BAB">
            <w:pPr>
              <w:pStyle w:val="List"/>
            </w:pPr>
            <w:r w:rsidRPr="002A1BAB">
              <w:t>2.1 Identify need for additional information as required</w:t>
            </w:r>
          </w:p>
          <w:p w:rsidR="00000000" w:rsidRPr="002A1BAB" w:rsidP="002A1BAB">
            <w:pPr>
              <w:pStyle w:val="List"/>
            </w:pPr>
            <w:r w:rsidRPr="002A1BAB">
              <w:t>2.2 Obtain further information within required timeframes to satisfy outstanding risk-assessment criteria</w:t>
            </w:r>
          </w:p>
          <w:p w:rsidR="00000000" w:rsidP="002A1BAB">
            <w:pPr>
              <w:pStyle w:val="List"/>
              <w:rPr>
                <w:lang w:val="en-NZ"/>
              </w:rPr>
            </w:pPr>
            <w:r w:rsidRPr="002A1BAB">
              <w:t>2.3 Manage privacy of parties according to legislative and regulatory requirements and codes of ethics and professional practice</w:t>
            </w:r>
          </w:p>
        </w:tc>
      </w:tr>
      <w:tr w:rsidTr="002A1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BAB">
            <w:pPr>
              <w:pStyle w:val="List"/>
              <w:rPr>
                <w:lang w:val="en-NZ"/>
              </w:rPr>
            </w:pPr>
            <w:r w:rsidRPr="002A1BAB">
              <w:t>3. Determine and advise terms and conditions of risk acceptability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BAB" w:rsidP="002A1BAB">
            <w:pPr>
              <w:pStyle w:val="List"/>
            </w:pPr>
            <w:r w:rsidRPr="002A1BAB">
              <w:t>3.1 Assess acceptability of risk against all available info</w:t>
            </w:r>
            <w:r w:rsidRPr="002A1BAB">
              <w:t>rmation according to legislative and regulatory requirements</w:t>
            </w:r>
          </w:p>
          <w:p w:rsidR="00000000" w:rsidRPr="002A1BAB" w:rsidP="002A1BAB">
            <w:pPr>
              <w:pStyle w:val="List"/>
            </w:pPr>
            <w:r w:rsidRPr="002A1BAB">
              <w:t>3.2 Document assessment rationale according to organisational policies and procedures</w:t>
            </w:r>
          </w:p>
          <w:p w:rsidR="00000000" w:rsidRPr="002A1BAB" w:rsidP="002A1BAB">
            <w:pPr>
              <w:pStyle w:val="List"/>
            </w:pPr>
            <w:r w:rsidRPr="002A1BAB">
              <w:t>3.3 Establish terms and conditions that minimise risk liability, within delegated authority</w:t>
            </w:r>
          </w:p>
          <w:p w:rsidR="00000000" w:rsidRPr="002A1BAB" w:rsidP="002A1BAB">
            <w:pPr>
              <w:pStyle w:val="List"/>
            </w:pPr>
            <w:r w:rsidRPr="002A1BAB">
              <w:t>3.4 Advise requir</w:t>
            </w:r>
            <w:r w:rsidRPr="002A1BAB">
              <w:t>ed parties of acceptance or rejection of application and communicate next steps, according to legislative and regulatory requirements</w:t>
            </w:r>
          </w:p>
        </w:tc>
      </w:tr>
    </w:tbl>
    <w:p w:rsidR="00000000" w:rsidRPr="002A1BAB" w:rsidP="002A1BAB">
      <w:pPr>
        <w:pStyle w:val="BodyText"/>
      </w:pPr>
    </w:p>
    <w:p w:rsidR="00000000" w:rsidRPr="002A1BAB" w:rsidP="002A1BAB">
      <w:pPr>
        <w:pStyle w:val="AllowPageBreak"/>
      </w:pPr>
    </w:p>
    <w:p w:rsidR="00000000" w:rsidRPr="002A1BAB" w:rsidP="002A1BAB">
      <w:pPr>
        <w:pStyle w:val="Heading1"/>
      </w:pPr>
      <w:bookmarkStart w:id="5" w:name="O_1218299"/>
      <w:bookmarkEnd w:id="5"/>
      <w:r w:rsidRPr="002A1BAB">
        <w:t>Foundation Skills</w:t>
      </w:r>
    </w:p>
    <w:p w:rsidR="00000000" w:rsidRPr="008863E3" w:rsidP="008863E3">
      <w:pPr>
        <w:pStyle w:val="BodyText"/>
        <w:rPr>
          <w:i/>
        </w:rPr>
      </w:pPr>
      <w:r w:rsidRPr="008863E3">
        <w:rPr>
          <w:rStyle w:val="Emphasis"/>
        </w:rPr>
        <w:t>This section describes those language, literacy, numeracy and employment skills tha</w:t>
      </w:r>
      <w:r w:rsidRPr="008863E3">
        <w:rPr>
          <w:rStyle w:val="Emphasis"/>
        </w:rPr>
        <w:t>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2A1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BAB" w:rsidP="002A1BAB">
            <w:pPr>
              <w:pStyle w:val="BodyText"/>
            </w:pPr>
            <w:r w:rsidRPr="002A1BAB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BAB">
            <w:pPr>
              <w:pStyle w:val="BodyText"/>
              <w:rPr>
                <w:lang w:val="en-NZ"/>
              </w:rPr>
            </w:pPr>
            <w:r w:rsidRPr="002A1BAB">
              <w:rPr>
                <w:rStyle w:val="SpecialBold"/>
              </w:rPr>
              <w:t>Description</w:t>
            </w:r>
          </w:p>
        </w:tc>
      </w:tr>
      <w:tr w:rsidTr="002A1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BAB">
            <w:pPr>
              <w:pStyle w:val="BodyText"/>
              <w:rPr>
                <w:lang w:val="en-NZ"/>
              </w:rPr>
            </w:pPr>
            <w:r w:rsidRPr="002A1BAB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BAB">
            <w:pPr>
              <w:pStyle w:val="ListBullet"/>
              <w:rPr>
                <w:lang w:val="en-NZ"/>
              </w:rPr>
            </w:pPr>
            <w:r w:rsidRPr="002A1BAB">
              <w:t>Uses mathematical problem-solving techniques to check data and financial information against criteria, planned timelines and work sequence</w:t>
            </w:r>
          </w:p>
        </w:tc>
      </w:tr>
      <w:tr w:rsidTr="002A1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BAB">
            <w:pPr>
              <w:pStyle w:val="BodyText"/>
              <w:rPr>
                <w:lang w:val="en-NZ"/>
              </w:rPr>
            </w:pPr>
            <w:r w:rsidRPr="002A1BAB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BAB" w:rsidP="002A1BAB">
            <w:pPr>
              <w:pStyle w:val="ListBullet"/>
            </w:pPr>
            <w:r w:rsidRPr="002A1BAB">
              <w:t>Selects and uses communication conventions and protocols to liaise with others</w:t>
            </w:r>
          </w:p>
          <w:p w:rsidR="00000000" w:rsidRPr="002A1BAB" w:rsidP="002A1BAB">
            <w:pPr>
              <w:pStyle w:val="ListBullet"/>
            </w:pPr>
            <w:r w:rsidRPr="002A1BAB">
              <w:t>Uses active listening and questioning techniques to confirm understanding of requirements</w:t>
            </w:r>
          </w:p>
          <w:p w:rsidR="00000000" w:rsidP="002A1BAB">
            <w:pPr>
              <w:pStyle w:val="ListBullet"/>
              <w:rPr>
                <w:lang w:val="en-NZ"/>
              </w:rPr>
            </w:pPr>
            <w:r w:rsidRPr="002A1BAB">
              <w:t xml:space="preserve">Provides information using language and tone required for audience </w:t>
            </w:r>
            <w:r w:rsidRPr="002A1BAB">
              <w:t>and purpose</w:t>
            </w:r>
          </w:p>
        </w:tc>
      </w:tr>
      <w:tr w:rsidTr="002A1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BAB">
            <w:pPr>
              <w:pStyle w:val="BodyText"/>
              <w:rPr>
                <w:lang w:val="en-NZ"/>
              </w:rPr>
            </w:pPr>
            <w:r w:rsidRPr="002A1BAB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BAB">
            <w:pPr>
              <w:pStyle w:val="ListBullet"/>
              <w:rPr>
                <w:lang w:val="en-NZ"/>
              </w:rPr>
            </w:pPr>
            <w:r w:rsidRPr="002A1BAB">
              <w:t>Gathers, analyses and interprets simple to complex information from a range of sources, and identifies relevant information to complete required tasks</w:t>
            </w:r>
          </w:p>
        </w:tc>
      </w:tr>
      <w:tr w:rsidTr="002A1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BAB">
            <w:pPr>
              <w:pStyle w:val="BodyText"/>
              <w:rPr>
                <w:lang w:val="en-NZ"/>
              </w:rPr>
            </w:pPr>
            <w:r w:rsidRPr="002A1BAB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BAB">
            <w:pPr>
              <w:pStyle w:val="ListBullet"/>
              <w:rPr>
                <w:lang w:val="en-NZ"/>
              </w:rPr>
            </w:pPr>
            <w:r w:rsidRPr="002A1BAB">
              <w:t>Produ</w:t>
            </w:r>
            <w:r w:rsidRPr="002A1BAB">
              <w:t xml:space="preserve">ces texts of varying complexity using appropriate language, grammar and logical sequencing to convey information </w:t>
            </w:r>
          </w:p>
        </w:tc>
      </w:tr>
      <w:tr w:rsidTr="002A1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BAB">
            <w:pPr>
              <w:pStyle w:val="BodyText"/>
              <w:rPr>
                <w:lang w:val="en-NZ"/>
              </w:rPr>
            </w:pPr>
            <w:r w:rsidRPr="002A1BAB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BAB">
            <w:pPr>
              <w:pStyle w:val="ListBullet"/>
              <w:rPr>
                <w:lang w:val="en-NZ"/>
              </w:rPr>
            </w:pPr>
            <w:r w:rsidRPr="002A1BAB">
              <w:t>Follows legislative requirements; and protocols, policies and procedures</w:t>
            </w:r>
          </w:p>
        </w:tc>
      </w:tr>
      <w:tr w:rsidTr="002A1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BAB">
            <w:pPr>
              <w:pStyle w:val="BodyText"/>
              <w:rPr>
                <w:lang w:val="en-NZ"/>
              </w:rPr>
            </w:pPr>
            <w:r w:rsidRPr="002A1BAB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BAB" w:rsidP="002A1BAB">
            <w:pPr>
              <w:pStyle w:val="ListBullet"/>
            </w:pPr>
            <w:r w:rsidRPr="002A1BAB">
              <w:t>Uses key features and functions of inf</w:t>
            </w:r>
            <w:r w:rsidRPr="002A1BAB">
              <w:t>ormation management systems and databases required for own role and work activities</w:t>
            </w:r>
          </w:p>
        </w:tc>
      </w:tr>
    </w:tbl>
    <w:p w:rsidR="00000000" w:rsidRPr="002A1BAB" w:rsidP="002A1BAB">
      <w:pPr>
        <w:pStyle w:val="BodyText"/>
      </w:pPr>
    </w:p>
    <w:p w:rsidR="00000000" w:rsidRPr="002A1BAB" w:rsidP="002A1BAB">
      <w:pPr>
        <w:pStyle w:val="AllowPageBreak"/>
      </w:pPr>
    </w:p>
    <w:p w:rsidR="00000000" w:rsidRPr="002A1BAB" w:rsidP="002A1BAB">
      <w:pPr>
        <w:pStyle w:val="Heading1"/>
      </w:pPr>
      <w:bookmarkStart w:id="6" w:name="O_1218301"/>
      <w:bookmarkEnd w:id="6"/>
      <w:r w:rsidRPr="002A1BAB">
        <w:t>Unit Mapping Information</w:t>
      </w:r>
    </w:p>
    <w:p w:rsidR="00000000" w:rsidRPr="002A1BAB" w:rsidP="008863E3">
      <w:pPr>
        <w:pStyle w:val="BodyText"/>
      </w:pPr>
      <w:r w:rsidRPr="002A1BAB">
        <w:t>Supersedes and is equivalent to FNSILF401 Contribute to the life risk underwriting process.</w:t>
      </w:r>
    </w:p>
    <w:p w:rsidR="00000000" w:rsidRPr="002A1BAB" w:rsidP="002A1BAB">
      <w:pPr>
        <w:pStyle w:val="Heading1"/>
      </w:pPr>
      <w:bookmarkStart w:id="7" w:name="O_1218308"/>
      <w:bookmarkEnd w:id="7"/>
      <w:r w:rsidRPr="002A1BAB">
        <w:t>Links</w:t>
      </w:r>
    </w:p>
    <w:p w:rsidR="00000000" w:rsidRPr="002A1BAB" w:rsidP="008863E3">
      <w:pPr>
        <w:pStyle w:val="BodyText"/>
      </w:pPr>
      <w:r w:rsidRPr="002A1BAB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51AF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A1BAB" w:rsidP="002A1BAB"/>
    <w:sectPr w:rsidSect="002A1B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B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BAB" w:rsidRPr="008863E3" w:rsidP="008863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B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3E3" w:rsidP="002A1B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63E3" w:rsidP="002A1B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63E3" w:rsidP="002A1B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B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3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1BAB" w:rsidRPr="008863E3" w:rsidP="008863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B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3E3" w:rsidRPr="002D2AF8" w:rsidP="002A1B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FNSILF411 Undertake the life risk underwriting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863E3" w:rsidP="002A1B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C22B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6CC6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B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1B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1B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1B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1B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1B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1B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1B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1B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1B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1B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1BAB"/>
  </w:style>
  <w:style w:type="character" w:customStyle="1" w:styleId="Heading1Char">
    <w:name w:val="Heading 1 Char"/>
    <w:basedOn w:val="DefaultParagraphFont"/>
    <w:link w:val="Heading1"/>
    <w:rsid w:val="002A1B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1B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1B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1B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1B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1BAB"/>
    <w:rPr>
      <w:b/>
      <w:spacing w:val="0"/>
    </w:rPr>
  </w:style>
  <w:style w:type="character" w:styleId="Emphasis">
    <w:name w:val="Emphasis"/>
    <w:basedOn w:val="DefaultParagraphFont"/>
    <w:qFormat/>
    <w:rsid w:val="002A1BAB"/>
    <w:rPr>
      <w:i/>
    </w:rPr>
  </w:style>
  <w:style w:type="paragraph" w:customStyle="1" w:styleId="SuperHeading">
    <w:name w:val="SuperHeading"/>
    <w:basedOn w:val="Normal"/>
    <w:rsid w:val="002A1B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1B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1B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1B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1B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1B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1B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1B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1B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1B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1B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1B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1B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1B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1B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1B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1B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1B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1B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1B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1B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1B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1B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1B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1B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1B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1B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1B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1B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1B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1B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1B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1B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1B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1B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1B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1B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1BAB"/>
  </w:style>
  <w:style w:type="paragraph" w:styleId="TableofFigures">
    <w:name w:val="table of figures"/>
    <w:basedOn w:val="Normal"/>
    <w:next w:val="Normal"/>
    <w:semiHidden/>
    <w:rsid w:val="002A1B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1B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1BAB"/>
    <w:rPr>
      <w:rFonts w:ascii="Wingdings" w:hAnsi="Wingdings"/>
    </w:rPr>
  </w:style>
  <w:style w:type="paragraph" w:customStyle="1" w:styleId="TableHeading">
    <w:name w:val="Table Heading"/>
    <w:basedOn w:val="HeadingBase"/>
    <w:rsid w:val="002A1B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1BAB"/>
    <w:rPr>
      <w:color w:val="0033CC"/>
      <w:u w:val="none"/>
    </w:rPr>
  </w:style>
  <w:style w:type="paragraph" w:customStyle="1" w:styleId="BodyTextRight">
    <w:name w:val="Body Text Right"/>
    <w:basedOn w:val="BodyText"/>
    <w:rsid w:val="002A1B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1B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1B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1B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1B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1B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1BAB"/>
    <w:rPr>
      <w:sz w:val="32"/>
    </w:rPr>
  </w:style>
  <w:style w:type="paragraph" w:customStyle="1" w:styleId="HeadingProcedure">
    <w:name w:val="Heading Procedure"/>
    <w:basedOn w:val="HeadingBase"/>
    <w:next w:val="Normal"/>
    <w:rsid w:val="002A1B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1BAB"/>
    <w:pPr>
      <w:spacing w:before="60" w:after="60"/>
    </w:pPr>
  </w:style>
  <w:style w:type="paragraph" w:styleId="ListContinue">
    <w:name w:val="List Continue"/>
    <w:basedOn w:val="List"/>
    <w:rsid w:val="002A1BAB"/>
    <w:pPr>
      <w:ind w:firstLine="0"/>
    </w:pPr>
  </w:style>
  <w:style w:type="paragraph" w:customStyle="1" w:styleId="ListNote">
    <w:name w:val="List Note"/>
    <w:basedOn w:val="List"/>
    <w:rsid w:val="002A1B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1B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1B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1BAB"/>
    <w:rPr>
      <w:rFonts w:ascii="Courier New" w:hAnsi="Courier New"/>
    </w:rPr>
  </w:style>
  <w:style w:type="paragraph" w:customStyle="1" w:styleId="NoteBullet">
    <w:name w:val="Note Bullet"/>
    <w:basedOn w:val="Note"/>
    <w:rsid w:val="002A1B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1B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1B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1B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1B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1B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1B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1BAB"/>
    <w:rPr>
      <w:b/>
      <w:smallCaps/>
    </w:rPr>
  </w:style>
  <w:style w:type="paragraph" w:customStyle="1" w:styleId="TableListNumber">
    <w:name w:val="Table List Number"/>
    <w:basedOn w:val="ListNumber"/>
    <w:rsid w:val="002A1B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1B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1BAB"/>
    <w:pPr>
      <w:numPr>
        <w:numId w:val="8"/>
      </w:numPr>
    </w:pPr>
  </w:style>
  <w:style w:type="paragraph" w:customStyle="1" w:styleId="ListAlpha2">
    <w:name w:val="List Alpha 2"/>
    <w:basedOn w:val="List2"/>
    <w:rsid w:val="002A1BAB"/>
    <w:pPr>
      <w:numPr>
        <w:numId w:val="7"/>
      </w:numPr>
    </w:pPr>
  </w:style>
  <w:style w:type="paragraph" w:styleId="List2">
    <w:name w:val="List 2"/>
    <w:basedOn w:val="BodyText"/>
    <w:rsid w:val="002A1B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1B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1B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1B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1B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1B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1BAB"/>
    <w:pPr>
      <w:numPr>
        <w:numId w:val="3"/>
      </w:numPr>
    </w:pPr>
  </w:style>
  <w:style w:type="paragraph" w:styleId="ListContinue2">
    <w:name w:val="List Continue 2"/>
    <w:basedOn w:val="List2"/>
    <w:rsid w:val="002A1BAB"/>
    <w:pPr>
      <w:ind w:firstLine="0"/>
    </w:pPr>
  </w:style>
  <w:style w:type="paragraph" w:styleId="ListContinue3">
    <w:name w:val="List Continue 3"/>
    <w:basedOn w:val="List3"/>
    <w:rsid w:val="002A1BAB"/>
    <w:pPr>
      <w:ind w:left="1021" w:firstLine="0"/>
    </w:pPr>
  </w:style>
  <w:style w:type="paragraph" w:styleId="ListContinue4">
    <w:name w:val="List Continue 4"/>
    <w:basedOn w:val="List4"/>
    <w:rsid w:val="002A1BAB"/>
    <w:pPr>
      <w:ind w:firstLine="0"/>
    </w:pPr>
  </w:style>
  <w:style w:type="paragraph" w:styleId="ListContinue5">
    <w:name w:val="List Continue 5"/>
    <w:basedOn w:val="List5"/>
    <w:rsid w:val="002A1BAB"/>
    <w:pPr>
      <w:ind w:firstLine="0"/>
    </w:pPr>
  </w:style>
  <w:style w:type="paragraph" w:styleId="ListNumber3">
    <w:name w:val="List Number 3"/>
    <w:basedOn w:val="List3"/>
    <w:rsid w:val="002A1BAB"/>
    <w:pPr>
      <w:numPr>
        <w:numId w:val="4"/>
      </w:numPr>
    </w:pPr>
  </w:style>
  <w:style w:type="paragraph" w:styleId="ListNumber4">
    <w:name w:val="List Number 4"/>
    <w:basedOn w:val="List4"/>
    <w:rsid w:val="002A1BAB"/>
    <w:pPr>
      <w:numPr>
        <w:numId w:val="5"/>
      </w:numPr>
    </w:pPr>
  </w:style>
  <w:style w:type="paragraph" w:styleId="ListNumber5">
    <w:name w:val="List Number 5"/>
    <w:basedOn w:val="List5"/>
    <w:rsid w:val="002A1BAB"/>
    <w:pPr>
      <w:numPr>
        <w:numId w:val="6"/>
      </w:numPr>
    </w:pPr>
  </w:style>
  <w:style w:type="paragraph" w:styleId="BlockText">
    <w:name w:val="Block Text"/>
    <w:basedOn w:val="Normal"/>
    <w:rsid w:val="002A1B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1B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1BAB"/>
    <w:rPr>
      <w:sz w:val="16"/>
      <w:vertAlign w:val="superscript"/>
    </w:rPr>
  </w:style>
  <w:style w:type="character" w:customStyle="1" w:styleId="Symbols">
    <w:name w:val="Symbols"/>
    <w:basedOn w:val="DefaultParagraphFont"/>
    <w:rsid w:val="002A1BAB"/>
    <w:rPr>
      <w:rFonts w:ascii="Symbol" w:hAnsi="Symbol"/>
    </w:rPr>
  </w:style>
  <w:style w:type="character" w:customStyle="1" w:styleId="MenuOptions">
    <w:name w:val="Menu Options"/>
    <w:basedOn w:val="DefaultParagraphFont"/>
    <w:rsid w:val="002A1B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1BAB"/>
    <w:rPr>
      <w:b/>
    </w:rPr>
  </w:style>
  <w:style w:type="character" w:customStyle="1" w:styleId="Underlined">
    <w:name w:val="Underlined"/>
    <w:basedOn w:val="DefaultParagraphFont"/>
    <w:rsid w:val="002A1BAB"/>
    <w:rPr>
      <w:u w:val="single"/>
    </w:rPr>
  </w:style>
  <w:style w:type="paragraph" w:customStyle="1" w:styleId="TableBodyTextRight">
    <w:name w:val="Table Body Text Right"/>
    <w:basedOn w:val="TableBodyText"/>
    <w:rsid w:val="002A1B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1BAB"/>
    <w:rPr>
      <w:sz w:val="18"/>
    </w:rPr>
  </w:style>
  <w:style w:type="paragraph" w:customStyle="1" w:styleId="BodySmallRight">
    <w:name w:val="Body Small Right"/>
    <w:basedOn w:val="BodyTextRight"/>
    <w:rsid w:val="002A1BAB"/>
    <w:rPr>
      <w:sz w:val="18"/>
      <w:szCs w:val="18"/>
    </w:rPr>
  </w:style>
  <w:style w:type="paragraph" w:customStyle="1" w:styleId="MarginEdition">
    <w:name w:val="Margin Edition"/>
    <w:basedOn w:val="MarginNote"/>
    <w:rsid w:val="002A1B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1BAB"/>
    <w:rPr>
      <w:sz w:val="2"/>
      <w:szCs w:val="2"/>
    </w:rPr>
  </w:style>
  <w:style w:type="character" w:customStyle="1" w:styleId="Small">
    <w:name w:val="Small"/>
    <w:basedOn w:val="DefaultParagraphFont"/>
    <w:rsid w:val="002A1BAB"/>
    <w:rPr>
      <w:sz w:val="16"/>
    </w:rPr>
  </w:style>
  <w:style w:type="paragraph" w:customStyle="1" w:styleId="WideTable">
    <w:name w:val="Wide Table"/>
    <w:basedOn w:val="Normal"/>
    <w:rsid w:val="002A1B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1BAB"/>
  </w:style>
  <w:style w:type="paragraph" w:styleId="Quote">
    <w:name w:val="Quote"/>
    <w:basedOn w:val="Heading1"/>
    <w:link w:val="QuoteChar"/>
    <w:qFormat/>
    <w:rsid w:val="002A1B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1B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1BAB"/>
    <w:pPr>
      <w:pageBreakBefore/>
    </w:pPr>
  </w:style>
  <w:style w:type="paragraph" w:customStyle="1" w:styleId="Border">
    <w:name w:val="Border"/>
    <w:basedOn w:val="Normal"/>
    <w:qFormat/>
    <w:rsid w:val="002A1B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1B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B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B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1B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1B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1B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1B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1B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1BAB"/>
    <w:rPr>
      <w:u w:val="single"/>
    </w:rPr>
  </w:style>
  <w:style w:type="character" w:customStyle="1" w:styleId="BoldandItalics">
    <w:name w:val="Bold and Italics"/>
    <w:qFormat/>
    <w:rsid w:val="002A1BAB"/>
    <w:rPr>
      <w:b/>
      <w:i/>
      <w:u w:val="none"/>
    </w:rPr>
  </w:style>
  <w:style w:type="paragraph" w:styleId="BalloonText">
    <w:name w:val="Balloon Text"/>
    <w:basedOn w:val="Normal"/>
    <w:link w:val="BalloonTextChar"/>
    <w:rsid w:val="002A1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1B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1B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1B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1B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1B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1BAB"/>
    <w:pPr>
      <w:spacing w:before="0" w:after="0"/>
    </w:pPr>
  </w:style>
  <w:style w:type="paragraph" w:customStyle="1" w:styleId="BodyTextBold">
    <w:name w:val="Body Text Bold"/>
    <w:basedOn w:val="BodyText"/>
    <w:qFormat/>
    <w:rsid w:val="002A1BAB"/>
    <w:rPr>
      <w:b/>
    </w:rPr>
  </w:style>
  <w:style w:type="character" w:styleId="Hyperlink">
    <w:name w:val="Hyperlink"/>
    <w:basedOn w:val="DefaultParagraphFont"/>
    <w:uiPriority w:val="99"/>
    <w:unhideWhenUsed/>
    <w:rsid w:val="008863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3737</Characters>
  <Application>Microsoft Office Word</Application>
  <DocSecurity>0</DocSecurity>
  <Lines>116</Lines>
  <Paragraphs>67</Paragraphs>
  <ScaleCrop>false</ScaleCrop>
  <Company>Author-it Software Corporation Ltd.</Company>
  <LinksUpToDate>false</LinksUpToDate>
  <CharactersWithSpaces>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FNSILF411 Undertake the life risk underwriting process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2022-11-03T07:27:00Z</dcterms:created>
  <dcterms:modified xsi:type="dcterms:W3CDTF">2022-11-03T07:27:00Z</dcterms:modified>
</cp:coreProperties>
</file>