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5B7D" w:rsidP="00A15B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FNSILA504 Negotiate and effect settlement</w:t>
      </w:r>
      <w:r>
        <w:fldChar w:fldCharType="end"/>
      </w:r>
    </w:p>
    <w:p w:rsidR="00A15B7D" w:rsidP="00A15B7D">
      <w:pPr>
        <w:pStyle w:val="Version"/>
        <w:sectPr w:rsidSect="008A0E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0E4A" w:rsidP="008A0E4A">
      <w:pPr>
        <w:pStyle w:val="SuperHeading"/>
      </w:pPr>
      <w:r w:rsidRPr="008A0E4A">
        <w:t>Assessment Requirements for FNSILA504 Negotiate and effect settlement</w:t>
      </w:r>
    </w:p>
    <w:p w:rsidR="00000000" w:rsidRPr="008A0E4A" w:rsidP="008A0E4A">
      <w:pPr>
        <w:pStyle w:val="Heading1"/>
      </w:pPr>
      <w:bookmarkStart w:id="1" w:name="O_677721"/>
      <w:bookmarkEnd w:id="1"/>
      <w:r w:rsidRPr="008A0E4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A0E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E4A" w:rsidP="008A0E4A">
            <w:pPr>
              <w:pStyle w:val="BodyText"/>
            </w:pPr>
            <w:r w:rsidRPr="008A0E4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E4A">
            <w:pPr>
              <w:pStyle w:val="BodyText"/>
              <w:rPr>
                <w:lang w:val="en-NZ"/>
              </w:rPr>
            </w:pPr>
            <w:r w:rsidRPr="008A0E4A">
              <w:rPr>
                <w:rStyle w:val="SpecialBold"/>
              </w:rPr>
              <w:t>Comments</w:t>
            </w:r>
          </w:p>
        </w:tc>
      </w:tr>
      <w:tr w:rsidTr="008A0E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E4A">
            <w:pPr>
              <w:pStyle w:val="BodyText"/>
              <w:rPr>
                <w:lang w:val="en-NZ"/>
              </w:rPr>
            </w:pPr>
            <w:r w:rsidRPr="008A0E4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E4A" w:rsidP="008A0E4A">
            <w:pPr>
              <w:pStyle w:val="BodyText"/>
            </w:pPr>
            <w:r w:rsidRPr="008A0E4A">
              <w:t>This version first released with FNS Financial Services Training Package Version 1.0.</w:t>
            </w:r>
          </w:p>
        </w:tc>
      </w:tr>
    </w:tbl>
    <w:p w:rsidR="00000000" w:rsidRPr="008A0E4A" w:rsidP="008A0E4A">
      <w:pPr>
        <w:pStyle w:val="BodyText"/>
      </w:pPr>
    </w:p>
    <w:p w:rsidR="00000000" w:rsidRPr="008A0E4A" w:rsidP="008A0E4A">
      <w:pPr>
        <w:pStyle w:val="AllowPageBreak"/>
      </w:pPr>
    </w:p>
    <w:p w:rsidR="00000000" w:rsidRPr="008A0E4A" w:rsidP="008A0E4A">
      <w:pPr>
        <w:pStyle w:val="Heading1"/>
      </w:pPr>
      <w:bookmarkStart w:id="2" w:name="O_677722"/>
      <w:bookmarkEnd w:id="2"/>
      <w:r w:rsidRPr="008A0E4A">
        <w:t>Performance Evidence</w:t>
      </w:r>
    </w:p>
    <w:p w:rsidR="00000000" w:rsidRPr="008A0E4A" w:rsidP="00A15B7D">
      <w:pPr>
        <w:pStyle w:val="BodyText"/>
      </w:pPr>
      <w:r w:rsidRPr="008A0E4A">
        <w:t>Evidence of the ability to:</w:t>
      </w:r>
    </w:p>
    <w:p w:rsidR="00000000" w:rsidRPr="008A0E4A" w:rsidP="008A0E4A">
      <w:pPr>
        <w:pStyle w:val="ListBullet"/>
      </w:pPr>
      <w:r w:rsidRPr="008A0E4A">
        <w:t>undertake a cost–benefit analysis of a loss situation and recommend appropriate action</w:t>
      </w:r>
    </w:p>
    <w:p w:rsidR="00000000" w:rsidRPr="008A0E4A" w:rsidP="008A0E4A">
      <w:pPr>
        <w:pStyle w:val="ListBullet"/>
      </w:pPr>
      <w:r w:rsidRPr="008A0E4A">
        <w:t>apply security practices and principles</w:t>
      </w:r>
    </w:p>
    <w:p w:rsidR="00000000" w:rsidRPr="008A0E4A" w:rsidP="008A0E4A">
      <w:pPr>
        <w:pStyle w:val="ListBullet"/>
      </w:pPr>
      <w:r w:rsidRPr="008A0E4A">
        <w:t>use risk management and minimisation practices</w:t>
      </w:r>
    </w:p>
    <w:p w:rsidR="00000000" w:rsidRPr="008A0E4A" w:rsidP="008A0E4A">
      <w:pPr>
        <w:pStyle w:val="ListBullet"/>
      </w:pPr>
      <w:r w:rsidRPr="008A0E4A">
        <w:t>develop a settlement document wi</w:t>
      </w:r>
      <w:r w:rsidRPr="008A0E4A">
        <w:t>th options for consideration</w:t>
      </w:r>
    </w:p>
    <w:p w:rsidR="00000000" w:rsidRPr="008A0E4A" w:rsidP="008A0E4A">
      <w:pPr>
        <w:pStyle w:val="ListBullet"/>
      </w:pPr>
      <w:r w:rsidRPr="008A0E4A">
        <w:t>maintain and apply up-to-date knowledge of the types and categories of insurance policies relevant to loss adjusting.</w:t>
      </w:r>
    </w:p>
    <w:p w:rsidR="00000000" w:rsidRPr="008A0E4A" w:rsidP="008A0E4A">
      <w:pPr>
        <w:pStyle w:val="BodyText"/>
      </w:pPr>
    </w:p>
    <w:p w:rsidR="00000000" w:rsidRPr="008A0E4A" w:rsidP="00A15B7D">
      <w:pPr>
        <w:pStyle w:val="BodyText"/>
      </w:pPr>
      <w:r w:rsidRPr="008A0E4A">
        <w:t>Note: If a specific volume or frequency is not stated, then evidence must be provided at least once.</w:t>
      </w:r>
    </w:p>
    <w:p w:rsidR="00000000" w:rsidRPr="008A0E4A" w:rsidP="008A0E4A">
      <w:pPr>
        <w:pStyle w:val="Heading1"/>
      </w:pPr>
      <w:bookmarkStart w:id="3" w:name="O_677723"/>
      <w:bookmarkEnd w:id="3"/>
      <w:r w:rsidRPr="008A0E4A">
        <w:t>Knowledge Evidence</w:t>
      </w:r>
    </w:p>
    <w:p w:rsidR="00000000" w:rsidRPr="008A0E4A" w:rsidP="00A15B7D">
      <w:pPr>
        <w:pStyle w:val="BodyText"/>
      </w:pPr>
      <w:r w:rsidRPr="008A0E4A">
        <w:t>explain the key features of:</w:t>
      </w:r>
    </w:p>
    <w:p w:rsidR="00000000" w:rsidRPr="008A0E4A" w:rsidP="008A0E4A">
      <w:pPr>
        <w:pStyle w:val="ListBullet"/>
      </w:pPr>
      <w:r w:rsidRPr="008A0E4A">
        <w:t>claims management processes and procedures</w:t>
      </w:r>
    </w:p>
    <w:p w:rsidR="00000000" w:rsidRPr="008A0E4A" w:rsidP="008A0E4A">
      <w:pPr>
        <w:pStyle w:val="ListBullet2"/>
      </w:pPr>
      <w:r w:rsidRPr="008A0E4A">
        <w:t>recovery processes</w:t>
      </w:r>
    </w:p>
    <w:p w:rsidR="00000000" w:rsidRPr="008A0E4A" w:rsidP="008A0E4A">
      <w:pPr>
        <w:pStyle w:val="ListBullet2"/>
      </w:pPr>
      <w:r w:rsidRPr="008A0E4A">
        <w:t>relevant policy coverage and requirements</w:t>
      </w:r>
    </w:p>
    <w:p w:rsidR="00000000" w:rsidRPr="008A0E4A" w:rsidP="008A0E4A">
      <w:pPr>
        <w:pStyle w:val="ListBullet2"/>
      </w:pPr>
      <w:r w:rsidRPr="008A0E4A">
        <w:t>salvage and disposal methods</w:t>
      </w:r>
    </w:p>
    <w:p w:rsidR="00000000" w:rsidRPr="008A0E4A" w:rsidP="008A0E4A">
      <w:pPr>
        <w:pStyle w:val="ListBullet2"/>
      </w:pPr>
      <w:r w:rsidRPr="008A0E4A">
        <w:t>subrogation</w:t>
      </w:r>
    </w:p>
    <w:p w:rsidR="00000000" w:rsidRPr="008A0E4A" w:rsidP="008A0E4A">
      <w:pPr>
        <w:pStyle w:val="ListBullet2"/>
      </w:pPr>
      <w:r w:rsidRPr="008A0E4A">
        <w:t xml:space="preserve">types and categories of insurance policies </w:t>
      </w:r>
    </w:p>
    <w:p w:rsidR="00000000" w:rsidRPr="008A0E4A" w:rsidP="008A0E4A">
      <w:pPr>
        <w:pStyle w:val="ListBullet"/>
      </w:pPr>
      <w:r w:rsidRPr="008A0E4A">
        <w:t>identify and describe the key features of:</w:t>
      </w:r>
    </w:p>
    <w:p w:rsidR="00000000" w:rsidRPr="008A0E4A" w:rsidP="008A0E4A">
      <w:pPr>
        <w:pStyle w:val="ListBullet2"/>
      </w:pPr>
      <w:r w:rsidRPr="008A0E4A">
        <w:t>insurance and contract law principles</w:t>
      </w:r>
    </w:p>
    <w:p w:rsidR="00000000" w:rsidRPr="008A0E4A" w:rsidP="008A0E4A">
      <w:pPr>
        <w:pStyle w:val="ListBullet2"/>
      </w:pPr>
      <w:r w:rsidRPr="008A0E4A">
        <w:t>loss adjusting principles and practice</w:t>
      </w:r>
    </w:p>
    <w:p w:rsidR="00000000" w:rsidRPr="008A0E4A" w:rsidP="008A0E4A">
      <w:pPr>
        <w:pStyle w:val="ListBullet2"/>
      </w:pPr>
      <w:r w:rsidRPr="008A0E4A">
        <w:t>relevant legislation and industry codes of practice</w:t>
      </w:r>
    </w:p>
    <w:p w:rsidR="00000000" w:rsidRPr="008A0E4A" w:rsidP="008A0E4A">
      <w:pPr>
        <w:pStyle w:val="ListBullet2"/>
      </w:pPr>
      <w:r w:rsidRPr="008A0E4A">
        <w:t>risk management and minimisation principles and techniques.</w:t>
      </w:r>
    </w:p>
    <w:p w:rsidR="00000000" w:rsidRPr="008A0E4A" w:rsidP="008A0E4A">
      <w:pPr>
        <w:pStyle w:val="AllowPageBreak"/>
      </w:pPr>
    </w:p>
    <w:p w:rsidR="00000000" w:rsidRPr="008A0E4A" w:rsidP="008A0E4A">
      <w:pPr>
        <w:pStyle w:val="Heading1"/>
      </w:pPr>
      <w:bookmarkStart w:id="4" w:name="O_677724"/>
      <w:bookmarkEnd w:id="4"/>
      <w:r w:rsidRPr="008A0E4A">
        <w:t>Assessment Conditions</w:t>
      </w:r>
    </w:p>
    <w:p w:rsidR="00000000" w:rsidRPr="008A0E4A" w:rsidP="00A15B7D">
      <w:pPr>
        <w:pStyle w:val="BodyText"/>
      </w:pPr>
      <w:r w:rsidRPr="008A0E4A">
        <w:t>Assessment must be conducted in a safe environment where evidence gathered demonstrates consistent performance of typical activities experienced in the insurance loss adjusting field of work and include access to:</w:t>
      </w:r>
    </w:p>
    <w:p w:rsidR="00000000" w:rsidRPr="008A0E4A" w:rsidP="008A0E4A">
      <w:pPr>
        <w:pStyle w:val="ListBullet"/>
      </w:pPr>
      <w:r w:rsidRPr="008A0E4A">
        <w:t>organisational reco</w:t>
      </w:r>
      <w:r w:rsidRPr="008A0E4A">
        <w:t>rds</w:t>
      </w:r>
    </w:p>
    <w:p w:rsidR="00000000" w:rsidRPr="008A0E4A" w:rsidP="008A0E4A">
      <w:pPr>
        <w:pStyle w:val="ListBullet"/>
      </w:pPr>
      <w:r w:rsidRPr="008A0E4A">
        <w:t>organisational policy, procedures, legislation and regulations as they relate to contracts of insurance</w:t>
      </w:r>
    </w:p>
    <w:p w:rsidR="00000000" w:rsidRPr="008A0E4A" w:rsidP="008A0E4A">
      <w:pPr>
        <w:pStyle w:val="ListBullet"/>
      </w:pPr>
      <w:r w:rsidRPr="008A0E4A">
        <w:t>common office equipment, technology, software and consumables.</w:t>
      </w:r>
    </w:p>
    <w:p w:rsidR="00000000" w:rsidRPr="008A0E4A" w:rsidP="008A0E4A">
      <w:pPr>
        <w:pStyle w:val="BodyText"/>
      </w:pPr>
    </w:p>
    <w:p w:rsidR="00000000" w:rsidRPr="008A0E4A" w:rsidP="00A15B7D">
      <w:pPr>
        <w:pStyle w:val="BodyText"/>
      </w:pPr>
      <w:r w:rsidRPr="008A0E4A">
        <w:t xml:space="preserve">Assessors must satisfy NVR/AQTF assessor requirements. </w:t>
      </w:r>
    </w:p>
    <w:p w:rsidR="00000000" w:rsidRPr="008A0E4A" w:rsidP="008A0E4A">
      <w:pPr>
        <w:pStyle w:val="Heading1"/>
      </w:pPr>
      <w:bookmarkStart w:id="5" w:name="O_677727"/>
      <w:bookmarkEnd w:id="5"/>
      <w:r w:rsidRPr="008A0E4A">
        <w:t>Links</w:t>
      </w:r>
    </w:p>
    <w:p w:rsidR="00000000" w:rsidRPr="008A0E4A" w:rsidP="00A15B7D">
      <w:pPr>
        <w:pStyle w:val="BodyText"/>
      </w:pPr>
      <w:r w:rsidRPr="008A0E4A">
        <w:t>Compa</w:t>
      </w:r>
      <w:r w:rsidRPr="008A0E4A">
        <w:t xml:space="preserve">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FC46F1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8A0E4A" w:rsidP="008A0E4A"/>
    <w:sectPr w:rsidSect="008A0E4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E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E4A" w:rsidRPr="00A15B7D" w:rsidP="00A15B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E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B7D" w:rsidP="008A0E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15B7D" w:rsidP="008A0E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15B7D" w:rsidP="008A0E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E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B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0E4A" w:rsidRPr="00A15B7D" w:rsidP="00A15B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E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B7D" w:rsidRPr="002D2AF8" w:rsidP="008A0E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FNSILA504 Negotiate and effect settlement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November 2020</w:t>
    </w:r>
    <w:r>
      <w:fldChar w:fldCharType="end"/>
    </w:r>
  </w:p>
  <w:p w:rsidR="00A15B7D" w:rsidP="008A0E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C867C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B382C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08282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0E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0E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0E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0E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0E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0E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0E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0E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0E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0E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0E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0E4A"/>
  </w:style>
  <w:style w:type="character" w:customStyle="1" w:styleId="Heading1Char">
    <w:name w:val="Heading 1 Char"/>
    <w:basedOn w:val="DefaultParagraphFont"/>
    <w:link w:val="Heading1"/>
    <w:rsid w:val="008A0E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0E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0E4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0E4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A0E4A"/>
    <w:rPr>
      <w:b/>
      <w:spacing w:val="0"/>
    </w:rPr>
  </w:style>
  <w:style w:type="paragraph" w:styleId="ListBullet2">
    <w:name w:val="List Bullet 2"/>
    <w:basedOn w:val="List2"/>
    <w:rsid w:val="008A0E4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A0E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0E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A0E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0E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0E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0E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0E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0E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0E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0E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0E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0E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0E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0E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0E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0E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0E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0E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0E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0E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0E4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0E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A0E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0E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0E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A0E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0E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0E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0E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0E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0E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0E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0E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0E4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A0E4A"/>
    <w:rPr>
      <w:i/>
    </w:rPr>
  </w:style>
  <w:style w:type="paragraph" w:styleId="Caption">
    <w:name w:val="caption"/>
    <w:basedOn w:val="BodyText"/>
    <w:next w:val="Normal"/>
    <w:qFormat/>
    <w:rsid w:val="008A0E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0E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0E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0E4A"/>
  </w:style>
  <w:style w:type="paragraph" w:styleId="TableofFigures">
    <w:name w:val="table of figures"/>
    <w:basedOn w:val="Normal"/>
    <w:next w:val="Normal"/>
    <w:semiHidden/>
    <w:rsid w:val="008A0E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0E4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A0E4A"/>
    <w:rPr>
      <w:rFonts w:ascii="Wingdings" w:hAnsi="Wingdings"/>
    </w:rPr>
  </w:style>
  <w:style w:type="paragraph" w:customStyle="1" w:styleId="TableHeading">
    <w:name w:val="Table Heading"/>
    <w:basedOn w:val="HeadingBase"/>
    <w:rsid w:val="008A0E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0E4A"/>
    <w:rPr>
      <w:color w:val="0033CC"/>
      <w:u w:val="none"/>
    </w:rPr>
  </w:style>
  <w:style w:type="paragraph" w:customStyle="1" w:styleId="BodyTextRight">
    <w:name w:val="Body Text Right"/>
    <w:basedOn w:val="BodyText"/>
    <w:rsid w:val="008A0E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0E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0E4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0E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0E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0E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0E4A"/>
    <w:rPr>
      <w:sz w:val="32"/>
    </w:rPr>
  </w:style>
  <w:style w:type="paragraph" w:customStyle="1" w:styleId="HeadingProcedure">
    <w:name w:val="Heading Procedure"/>
    <w:basedOn w:val="HeadingBase"/>
    <w:next w:val="Normal"/>
    <w:rsid w:val="008A0E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0E4A"/>
    <w:pPr>
      <w:spacing w:before="60" w:after="60"/>
    </w:pPr>
  </w:style>
  <w:style w:type="paragraph" w:styleId="ListContinue">
    <w:name w:val="List Continue"/>
    <w:basedOn w:val="List"/>
    <w:rsid w:val="008A0E4A"/>
    <w:pPr>
      <w:ind w:firstLine="0"/>
    </w:pPr>
  </w:style>
  <w:style w:type="paragraph" w:customStyle="1" w:styleId="ListNote">
    <w:name w:val="List Note"/>
    <w:basedOn w:val="List"/>
    <w:rsid w:val="008A0E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0E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0E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0E4A"/>
    <w:rPr>
      <w:rFonts w:ascii="Courier New" w:hAnsi="Courier New"/>
    </w:rPr>
  </w:style>
  <w:style w:type="paragraph" w:customStyle="1" w:styleId="NoteBullet">
    <w:name w:val="Note Bullet"/>
    <w:basedOn w:val="Note"/>
    <w:rsid w:val="008A0E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0E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0E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0E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0E4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A0E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0E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0E4A"/>
    <w:rPr>
      <w:b/>
      <w:smallCaps/>
    </w:rPr>
  </w:style>
  <w:style w:type="paragraph" w:customStyle="1" w:styleId="TableListNumber">
    <w:name w:val="Table List Number"/>
    <w:basedOn w:val="ListNumber"/>
    <w:rsid w:val="008A0E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0E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0E4A"/>
    <w:pPr>
      <w:numPr>
        <w:numId w:val="9"/>
      </w:numPr>
    </w:pPr>
  </w:style>
  <w:style w:type="paragraph" w:customStyle="1" w:styleId="ListAlpha2">
    <w:name w:val="List Alpha 2"/>
    <w:basedOn w:val="List2"/>
    <w:rsid w:val="008A0E4A"/>
    <w:pPr>
      <w:numPr>
        <w:numId w:val="8"/>
      </w:numPr>
    </w:pPr>
  </w:style>
  <w:style w:type="paragraph" w:styleId="List2">
    <w:name w:val="List 2"/>
    <w:basedOn w:val="BodyText"/>
    <w:rsid w:val="008A0E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0E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0E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0E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0E4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0E4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A0E4A"/>
    <w:pPr>
      <w:numPr>
        <w:numId w:val="4"/>
      </w:numPr>
    </w:pPr>
  </w:style>
  <w:style w:type="paragraph" w:styleId="ListContinue2">
    <w:name w:val="List Continue 2"/>
    <w:basedOn w:val="List2"/>
    <w:rsid w:val="008A0E4A"/>
    <w:pPr>
      <w:ind w:firstLine="0"/>
    </w:pPr>
  </w:style>
  <w:style w:type="paragraph" w:styleId="ListContinue3">
    <w:name w:val="List Continue 3"/>
    <w:basedOn w:val="List3"/>
    <w:rsid w:val="008A0E4A"/>
    <w:pPr>
      <w:ind w:left="1021" w:firstLine="0"/>
    </w:pPr>
  </w:style>
  <w:style w:type="paragraph" w:styleId="ListContinue4">
    <w:name w:val="List Continue 4"/>
    <w:basedOn w:val="List4"/>
    <w:rsid w:val="008A0E4A"/>
    <w:pPr>
      <w:ind w:firstLine="0"/>
    </w:pPr>
  </w:style>
  <w:style w:type="paragraph" w:styleId="ListContinue5">
    <w:name w:val="List Continue 5"/>
    <w:basedOn w:val="List5"/>
    <w:rsid w:val="008A0E4A"/>
    <w:pPr>
      <w:ind w:firstLine="0"/>
    </w:pPr>
  </w:style>
  <w:style w:type="paragraph" w:styleId="ListNumber3">
    <w:name w:val="List Number 3"/>
    <w:basedOn w:val="List3"/>
    <w:rsid w:val="008A0E4A"/>
    <w:pPr>
      <w:numPr>
        <w:numId w:val="5"/>
      </w:numPr>
    </w:pPr>
  </w:style>
  <w:style w:type="paragraph" w:styleId="ListNumber4">
    <w:name w:val="List Number 4"/>
    <w:basedOn w:val="List4"/>
    <w:rsid w:val="008A0E4A"/>
    <w:pPr>
      <w:numPr>
        <w:numId w:val="6"/>
      </w:numPr>
    </w:pPr>
  </w:style>
  <w:style w:type="paragraph" w:styleId="ListNumber5">
    <w:name w:val="List Number 5"/>
    <w:basedOn w:val="List5"/>
    <w:rsid w:val="008A0E4A"/>
    <w:pPr>
      <w:numPr>
        <w:numId w:val="7"/>
      </w:numPr>
    </w:pPr>
  </w:style>
  <w:style w:type="paragraph" w:styleId="BlockText">
    <w:name w:val="Block Text"/>
    <w:basedOn w:val="Normal"/>
    <w:rsid w:val="008A0E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0E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0E4A"/>
    <w:rPr>
      <w:sz w:val="16"/>
      <w:vertAlign w:val="superscript"/>
    </w:rPr>
  </w:style>
  <w:style w:type="character" w:customStyle="1" w:styleId="Symbols">
    <w:name w:val="Symbols"/>
    <w:basedOn w:val="DefaultParagraphFont"/>
    <w:rsid w:val="008A0E4A"/>
    <w:rPr>
      <w:rFonts w:ascii="Symbol" w:hAnsi="Symbol"/>
    </w:rPr>
  </w:style>
  <w:style w:type="character" w:customStyle="1" w:styleId="MenuOptions">
    <w:name w:val="Menu Options"/>
    <w:basedOn w:val="DefaultParagraphFont"/>
    <w:rsid w:val="008A0E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0E4A"/>
    <w:rPr>
      <w:b/>
    </w:rPr>
  </w:style>
  <w:style w:type="character" w:customStyle="1" w:styleId="Underlined">
    <w:name w:val="Underlined"/>
    <w:basedOn w:val="DefaultParagraphFont"/>
    <w:rsid w:val="008A0E4A"/>
    <w:rPr>
      <w:u w:val="single"/>
    </w:rPr>
  </w:style>
  <w:style w:type="paragraph" w:customStyle="1" w:styleId="TableBodyTextRight">
    <w:name w:val="Table Body Text Right"/>
    <w:basedOn w:val="TableBodyText"/>
    <w:rsid w:val="008A0E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0E4A"/>
    <w:rPr>
      <w:sz w:val="18"/>
    </w:rPr>
  </w:style>
  <w:style w:type="paragraph" w:customStyle="1" w:styleId="BodySmallRight">
    <w:name w:val="Body Small Right"/>
    <w:basedOn w:val="BodyTextRight"/>
    <w:rsid w:val="008A0E4A"/>
    <w:rPr>
      <w:sz w:val="18"/>
      <w:szCs w:val="18"/>
    </w:rPr>
  </w:style>
  <w:style w:type="paragraph" w:customStyle="1" w:styleId="MarginEdition">
    <w:name w:val="Margin Edition"/>
    <w:basedOn w:val="MarginNote"/>
    <w:rsid w:val="008A0E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0E4A"/>
    <w:rPr>
      <w:sz w:val="2"/>
      <w:szCs w:val="2"/>
    </w:rPr>
  </w:style>
  <w:style w:type="character" w:customStyle="1" w:styleId="Small">
    <w:name w:val="Small"/>
    <w:basedOn w:val="DefaultParagraphFont"/>
    <w:rsid w:val="008A0E4A"/>
    <w:rPr>
      <w:sz w:val="16"/>
    </w:rPr>
  </w:style>
  <w:style w:type="paragraph" w:customStyle="1" w:styleId="WideTable">
    <w:name w:val="Wide Table"/>
    <w:basedOn w:val="Normal"/>
    <w:rsid w:val="008A0E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0E4A"/>
  </w:style>
  <w:style w:type="paragraph" w:styleId="Quote">
    <w:name w:val="Quote"/>
    <w:basedOn w:val="Heading1"/>
    <w:link w:val="QuoteChar"/>
    <w:qFormat/>
    <w:rsid w:val="008A0E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0E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0E4A"/>
    <w:pPr>
      <w:pageBreakBefore/>
    </w:pPr>
  </w:style>
  <w:style w:type="paragraph" w:customStyle="1" w:styleId="Border">
    <w:name w:val="Border"/>
    <w:basedOn w:val="Normal"/>
    <w:qFormat/>
    <w:rsid w:val="008A0E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0E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0E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0E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0E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0E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0E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0E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0E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0E4A"/>
    <w:rPr>
      <w:u w:val="single"/>
    </w:rPr>
  </w:style>
  <w:style w:type="character" w:customStyle="1" w:styleId="BoldandItalics">
    <w:name w:val="Bold and Italics"/>
    <w:qFormat/>
    <w:rsid w:val="008A0E4A"/>
    <w:rPr>
      <w:b/>
      <w:i/>
      <w:u w:val="none"/>
    </w:rPr>
  </w:style>
  <w:style w:type="paragraph" w:styleId="BalloonText">
    <w:name w:val="Balloon Text"/>
    <w:basedOn w:val="Normal"/>
    <w:link w:val="BalloonTextChar"/>
    <w:rsid w:val="008A0E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0E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0E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0E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0E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0E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0E4A"/>
    <w:pPr>
      <w:spacing w:before="0" w:after="0"/>
    </w:pPr>
  </w:style>
  <w:style w:type="paragraph" w:customStyle="1" w:styleId="BodyTextBold">
    <w:name w:val="Body Text Bold"/>
    <w:basedOn w:val="BodyText"/>
    <w:qFormat/>
    <w:rsid w:val="008A0E4A"/>
    <w:rPr>
      <w:b/>
    </w:rPr>
  </w:style>
  <w:style w:type="character" w:styleId="Hyperlink">
    <w:name w:val="Hyperlink"/>
    <w:basedOn w:val="DefaultParagraphFont"/>
    <w:uiPriority w:val="99"/>
    <w:unhideWhenUsed/>
    <w:rsid w:val="00A15B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262</Words>
  <Characters>1807</Characters>
  <Application>Microsoft Office Word</Application>
  <DocSecurity>0</DocSecurity>
  <Lines>60</Lines>
  <Paragraphs>44</Paragraphs>
  <ScaleCrop>false</ScaleCrop>
  <Company>Author-it Software Corporation Ltd.</Company>
  <LinksUpToDate>false</LinksUpToDate>
  <CharactersWithSpaces>2025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FNSILA504 Negotiate and effect settlement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2020-11-04T12:58:00Z</dcterms:created>
  <dcterms:modified xsi:type="dcterms:W3CDTF">2020-11-04T12:58:00Z</dcterms:modified>
</cp:coreProperties>
</file>