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14F8" w:rsidP="00B714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FNSIBK416 Deliver insurance broking services</w:t>
      </w:r>
      <w:r>
        <w:fldChar w:fldCharType="end"/>
      </w:r>
    </w:p>
    <w:p w:rsidR="00B714F8" w:rsidP="00B714F8">
      <w:pPr>
        <w:pStyle w:val="Version"/>
        <w:sectPr w:rsidSect="006D0D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0D7E" w:rsidP="006D0D7E">
      <w:pPr>
        <w:pStyle w:val="SuperHeading"/>
      </w:pPr>
      <w:r w:rsidRPr="006D0D7E">
        <w:t>Assessment Requirements for FNSIBK416 Deliver insurance broking services</w:t>
      </w:r>
    </w:p>
    <w:p w:rsidR="00000000" w:rsidRPr="006D0D7E" w:rsidP="006D0D7E">
      <w:pPr>
        <w:pStyle w:val="Heading1"/>
      </w:pPr>
      <w:bookmarkStart w:id="1" w:name="O_1222660"/>
      <w:bookmarkEnd w:id="1"/>
      <w:r w:rsidRPr="006D0D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D0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7E" w:rsidP="006D0D7E">
            <w:pPr>
              <w:pStyle w:val="BodyText"/>
            </w:pPr>
            <w:r w:rsidRPr="006D0D7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7E">
            <w:pPr>
              <w:pStyle w:val="BodyText"/>
              <w:rPr>
                <w:lang w:val="en-NZ"/>
              </w:rPr>
            </w:pPr>
            <w:r w:rsidRPr="006D0D7E">
              <w:rPr>
                <w:rStyle w:val="SpecialBold"/>
              </w:rPr>
              <w:t>Comments</w:t>
            </w:r>
          </w:p>
        </w:tc>
      </w:tr>
      <w:tr w:rsidTr="006D0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7E">
            <w:pPr>
              <w:pStyle w:val="BodyText"/>
              <w:rPr>
                <w:lang w:val="en-NZ"/>
              </w:rPr>
            </w:pPr>
            <w:r w:rsidRPr="006D0D7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7E" w:rsidP="006D0D7E">
            <w:pPr>
              <w:pStyle w:val="BodyText"/>
            </w:pPr>
            <w:r w:rsidRPr="006D0D7E">
              <w:t>This version first released with FNS Financial Services Training Package Version 7.0.</w:t>
            </w:r>
          </w:p>
          <w:p w:rsidR="00000000" w:rsidP="006D0D7E">
            <w:pPr>
              <w:pStyle w:val="BodyText"/>
              <w:rPr>
                <w:lang w:val="en-NZ"/>
              </w:rPr>
            </w:pPr>
            <w:r w:rsidRPr="006D0D7E">
              <w:t>Minor changes to Element 4 and Performance Evidence.</w:t>
            </w:r>
          </w:p>
        </w:tc>
      </w:tr>
      <w:tr w:rsidTr="006D0D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7E">
            <w:pPr>
              <w:pStyle w:val="BodyText"/>
              <w:rPr>
                <w:lang w:val="en-NZ"/>
              </w:rPr>
            </w:pPr>
            <w:r w:rsidRPr="006D0D7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7E" w:rsidP="006D0D7E">
            <w:pPr>
              <w:pStyle w:val="BodyText"/>
            </w:pPr>
            <w:r w:rsidRPr="006D0D7E">
              <w:t>This version first released with FNS Financial Services Training Package Version 5.0.</w:t>
            </w:r>
          </w:p>
        </w:tc>
      </w:tr>
    </w:tbl>
    <w:p w:rsidR="00000000" w:rsidRPr="006D0D7E" w:rsidP="006D0D7E">
      <w:pPr>
        <w:pStyle w:val="BodyText"/>
      </w:pPr>
    </w:p>
    <w:p w:rsidR="00000000" w:rsidRPr="006D0D7E" w:rsidP="006D0D7E">
      <w:pPr>
        <w:pStyle w:val="AllowPageBreak"/>
      </w:pPr>
    </w:p>
    <w:p w:rsidR="00000000" w:rsidRPr="006D0D7E" w:rsidP="006D0D7E">
      <w:pPr>
        <w:pStyle w:val="Heading1"/>
      </w:pPr>
      <w:bookmarkStart w:id="2" w:name="O_1222659"/>
      <w:bookmarkEnd w:id="2"/>
      <w:r w:rsidRPr="006D0D7E">
        <w:t>Performance Evidence</w:t>
      </w:r>
    </w:p>
    <w:p w:rsidR="00000000" w:rsidRPr="006D0D7E" w:rsidP="00B714F8">
      <w:pPr>
        <w:pStyle w:val="BodyText"/>
      </w:pPr>
      <w:r w:rsidRPr="006D0D7E">
        <w:t>The candidate must demonstrate the ability to complete the tasks</w:t>
      </w:r>
      <w:r w:rsidRPr="006D0D7E">
        <w:t xml:space="preserve"> outlined in the elements, performance criteria and foundation skills of this unit, including evidence of the ability to:</w:t>
      </w:r>
    </w:p>
    <w:p w:rsidR="00000000" w:rsidRPr="006D0D7E" w:rsidP="006D0D7E">
      <w:pPr>
        <w:pStyle w:val="ListBullet"/>
      </w:pPr>
      <w:r w:rsidRPr="006D0D7E">
        <w:t>deliver the following four insurance broking services that meet legislative and organisational requirements to at least one client:</w:t>
      </w:r>
    </w:p>
    <w:p w:rsidR="00000000" w:rsidRPr="006D0D7E" w:rsidP="006D0D7E">
      <w:pPr>
        <w:pStyle w:val="ListBullet2"/>
      </w:pPr>
      <w:r w:rsidRPr="006D0D7E">
        <w:t>respond to client enquiry for broking services</w:t>
      </w:r>
    </w:p>
    <w:p w:rsidR="00000000" w:rsidRPr="006D0D7E" w:rsidP="006D0D7E">
      <w:pPr>
        <w:pStyle w:val="ListBullet2"/>
      </w:pPr>
      <w:r w:rsidRPr="006D0D7E">
        <w:t>undertake risk assessment</w:t>
      </w:r>
    </w:p>
    <w:p w:rsidR="00000000" w:rsidRPr="006D0D7E" w:rsidP="006D0D7E">
      <w:pPr>
        <w:pStyle w:val="ListBullet2"/>
      </w:pPr>
      <w:r w:rsidRPr="006D0D7E">
        <w:t>finalise client’s insurance cover</w:t>
      </w:r>
    </w:p>
    <w:p w:rsidR="00000000" w:rsidRPr="006D0D7E" w:rsidP="006D0D7E">
      <w:pPr>
        <w:pStyle w:val="ListBullet2"/>
      </w:pPr>
      <w:r w:rsidRPr="006D0D7E">
        <w:t>agree to and implement arrangements for providing ongoing service to client.</w:t>
      </w:r>
    </w:p>
    <w:p w:rsidR="00000000" w:rsidRPr="006D0D7E" w:rsidP="006D0D7E">
      <w:pPr>
        <w:pStyle w:val="List"/>
      </w:pPr>
    </w:p>
    <w:p w:rsidR="00000000" w:rsidRPr="006D0D7E" w:rsidP="00B714F8">
      <w:pPr>
        <w:pStyle w:val="BodyText"/>
      </w:pPr>
      <w:r w:rsidRPr="006D0D7E">
        <w:t>In the course of the above, the candidate must:</w:t>
      </w:r>
    </w:p>
    <w:p w:rsidR="00000000" w:rsidRPr="006D0D7E" w:rsidP="006D0D7E">
      <w:pPr>
        <w:pStyle w:val="ListBullet"/>
      </w:pPr>
      <w:r w:rsidRPr="006D0D7E">
        <w:t>provide responses to a</w:t>
      </w:r>
      <w:r w:rsidRPr="006D0D7E">
        <w:t xml:space="preserve"> range of enquiries in line with client needs and outcome of risk assessment</w:t>
      </w:r>
    </w:p>
    <w:p w:rsidR="00000000" w:rsidRPr="006D0D7E" w:rsidP="006D0D7E">
      <w:pPr>
        <w:pStyle w:val="ListBullet"/>
      </w:pPr>
      <w:r w:rsidRPr="006D0D7E">
        <w:t>use organisational tools to collect, analyse and record information to provide broking services</w:t>
      </w:r>
    </w:p>
    <w:p w:rsidR="00000000" w:rsidRPr="006D0D7E" w:rsidP="006D0D7E">
      <w:pPr>
        <w:pStyle w:val="ListBullet"/>
      </w:pPr>
      <w:r w:rsidRPr="006D0D7E">
        <w:t>access and complete required documentation.</w:t>
      </w:r>
    </w:p>
    <w:p w:rsidR="00000000" w:rsidRPr="006D0D7E" w:rsidP="006D0D7E">
      <w:pPr>
        <w:pStyle w:val="AllowPageBreak"/>
      </w:pPr>
    </w:p>
    <w:p w:rsidR="00000000" w:rsidRPr="006D0D7E" w:rsidP="006D0D7E">
      <w:pPr>
        <w:pStyle w:val="Heading1"/>
      </w:pPr>
      <w:bookmarkStart w:id="3" w:name="O_1222658"/>
      <w:bookmarkEnd w:id="3"/>
      <w:r w:rsidRPr="006D0D7E">
        <w:t>Knowledge Evidence</w:t>
      </w:r>
    </w:p>
    <w:p w:rsidR="00000000" w:rsidRPr="006D0D7E" w:rsidP="00B714F8">
      <w:pPr>
        <w:pStyle w:val="BodyText"/>
      </w:pPr>
      <w:r w:rsidRPr="006D0D7E">
        <w:t>T</w:t>
      </w:r>
      <w:r w:rsidRPr="006D0D7E">
        <w:t>he candidate must be able to demonstrate knowledge to complete the tasks outlined in the elements, performance criteria and foundation skills of this unit, including knowledge of:</w:t>
      </w:r>
    </w:p>
    <w:p w:rsidR="00000000" w:rsidRPr="006D0D7E" w:rsidP="006D0D7E">
      <w:pPr>
        <w:pStyle w:val="ListBullet"/>
      </w:pPr>
      <w:r w:rsidRPr="006D0D7E">
        <w:t>legislative requirements and industry codes of practice relating to providing insurance broking services</w:t>
      </w:r>
    </w:p>
    <w:p w:rsidR="00000000" w:rsidRPr="006D0D7E" w:rsidP="006D0D7E">
      <w:pPr>
        <w:pStyle w:val="ListBullet"/>
      </w:pPr>
      <w:r w:rsidRPr="006D0D7E">
        <w:t>organisational policies, procedures and authorities for broking services, including for:</w:t>
      </w:r>
    </w:p>
    <w:p w:rsidR="00000000" w:rsidRPr="006D0D7E" w:rsidP="006D0D7E">
      <w:pPr>
        <w:pStyle w:val="ListBullet2"/>
      </w:pPr>
      <w:r w:rsidRPr="006D0D7E">
        <w:t>dealing with client enquiries</w:t>
      </w:r>
    </w:p>
    <w:p w:rsidR="00000000" w:rsidRPr="006D0D7E" w:rsidP="006D0D7E">
      <w:pPr>
        <w:pStyle w:val="ListBullet2"/>
      </w:pPr>
      <w:r w:rsidRPr="006D0D7E">
        <w:t>conducting research relevant fo</w:t>
      </w:r>
      <w:r w:rsidRPr="006D0D7E">
        <w:t>r broking services</w:t>
      </w:r>
    </w:p>
    <w:p w:rsidR="00000000" w:rsidRPr="006D0D7E" w:rsidP="006D0D7E">
      <w:pPr>
        <w:pStyle w:val="ListBullet2"/>
      </w:pPr>
      <w:r w:rsidRPr="006D0D7E">
        <w:t>identifying errors and inconsistencies in assessment records</w:t>
      </w:r>
    </w:p>
    <w:p w:rsidR="00000000" w:rsidRPr="006D0D7E" w:rsidP="006D0D7E">
      <w:pPr>
        <w:pStyle w:val="ListBullet"/>
      </w:pPr>
      <w:r w:rsidRPr="006D0D7E">
        <w:t>insurance service processes and standards in relation to:</w:t>
      </w:r>
    </w:p>
    <w:p w:rsidR="00000000" w:rsidRPr="006D0D7E" w:rsidP="006D0D7E">
      <w:pPr>
        <w:pStyle w:val="ListBullet2"/>
      </w:pPr>
      <w:r w:rsidRPr="006D0D7E">
        <w:t>information collection</w:t>
      </w:r>
    </w:p>
    <w:p w:rsidR="00000000" w:rsidRPr="006D0D7E" w:rsidP="006D0D7E">
      <w:pPr>
        <w:pStyle w:val="ListBullet2"/>
      </w:pPr>
      <w:r w:rsidRPr="006D0D7E">
        <w:t>risk assessment and methods for assessing cover</w:t>
      </w:r>
    </w:p>
    <w:p w:rsidR="00000000" w:rsidRPr="006D0D7E" w:rsidP="006D0D7E">
      <w:pPr>
        <w:pStyle w:val="ListBullet2"/>
      </w:pPr>
      <w:r w:rsidRPr="006D0D7E">
        <w:t>placing client insurances</w:t>
      </w:r>
    </w:p>
    <w:p w:rsidR="00000000" w:rsidRPr="006D0D7E" w:rsidP="006D0D7E">
      <w:pPr>
        <w:pStyle w:val="ListBullet2"/>
      </w:pPr>
      <w:r w:rsidRPr="006D0D7E">
        <w:t>providing follow-up</w:t>
      </w:r>
      <w:r w:rsidRPr="006D0D7E">
        <w:t xml:space="preserve"> assistance</w:t>
      </w:r>
    </w:p>
    <w:p w:rsidR="00000000" w:rsidRPr="006D0D7E" w:rsidP="006D0D7E">
      <w:pPr>
        <w:pStyle w:val="ListBullet"/>
      </w:pPr>
      <w:r w:rsidRPr="006D0D7E">
        <w:t>insurance and risk plans for typical retail and commercial client situations and risk profiles</w:t>
      </w:r>
    </w:p>
    <w:p w:rsidR="00000000" w:rsidRPr="006D0D7E" w:rsidP="006D0D7E">
      <w:pPr>
        <w:pStyle w:val="ListBullet"/>
      </w:pPr>
      <w:r w:rsidRPr="006D0D7E">
        <w:t>details of insurance programs, including:</w:t>
      </w:r>
    </w:p>
    <w:p w:rsidR="00000000" w:rsidRPr="006D0D7E" w:rsidP="006D0D7E">
      <w:pPr>
        <w:pStyle w:val="ListBullet2"/>
      </w:pPr>
      <w:r w:rsidRPr="006D0D7E">
        <w:t>terms and required timeframes of settlement</w:t>
      </w:r>
    </w:p>
    <w:p w:rsidR="00000000" w:rsidRPr="006D0D7E" w:rsidP="006D0D7E">
      <w:pPr>
        <w:pStyle w:val="ListBullet2"/>
      </w:pPr>
      <w:r w:rsidRPr="006D0D7E">
        <w:t>terms and conditions of policy</w:t>
      </w:r>
    </w:p>
    <w:p w:rsidR="00000000" w:rsidRPr="006D0D7E" w:rsidP="006D0D7E">
      <w:pPr>
        <w:pStyle w:val="ListBullet2"/>
      </w:pPr>
      <w:r w:rsidRPr="006D0D7E">
        <w:t>extent of cover</w:t>
      </w:r>
    </w:p>
    <w:p w:rsidR="00000000" w:rsidRPr="006D0D7E" w:rsidP="006D0D7E">
      <w:pPr>
        <w:pStyle w:val="ListBullet2"/>
      </w:pPr>
      <w:r w:rsidRPr="006D0D7E">
        <w:t>optional extras</w:t>
      </w:r>
    </w:p>
    <w:p w:rsidR="00000000" w:rsidRPr="006D0D7E" w:rsidP="006D0D7E">
      <w:pPr>
        <w:pStyle w:val="ListBullet2"/>
      </w:pPr>
      <w:r w:rsidRPr="006D0D7E">
        <w:t>excess</w:t>
      </w:r>
    </w:p>
    <w:p w:rsidR="00000000" w:rsidRPr="006D0D7E" w:rsidP="006D0D7E">
      <w:pPr>
        <w:pStyle w:val="ListBullet"/>
      </w:pPr>
      <w:r w:rsidRPr="006D0D7E">
        <w:t>insurance product and policy types and their:</w:t>
      </w:r>
    </w:p>
    <w:p w:rsidR="00000000" w:rsidRPr="006D0D7E" w:rsidP="006D0D7E">
      <w:pPr>
        <w:pStyle w:val="ListBullet2"/>
      </w:pPr>
      <w:r w:rsidRPr="006D0D7E">
        <w:t>corresponding levels of supplier services</w:t>
      </w:r>
    </w:p>
    <w:p w:rsidR="00000000" w:rsidRPr="006D0D7E" w:rsidP="006D0D7E">
      <w:pPr>
        <w:pStyle w:val="ListBullet2"/>
      </w:pPr>
      <w:r w:rsidRPr="006D0D7E">
        <w:t>terms and conditions, including benefits and exclusions</w:t>
      </w:r>
    </w:p>
    <w:p w:rsidR="00000000" w:rsidRPr="006D0D7E" w:rsidP="006D0D7E">
      <w:pPr>
        <w:pStyle w:val="ListBullet2"/>
      </w:pPr>
      <w:r w:rsidRPr="006D0D7E">
        <w:t>cost and fee structures</w:t>
      </w:r>
    </w:p>
    <w:p w:rsidR="00000000" w:rsidRPr="006D0D7E" w:rsidP="006D0D7E">
      <w:pPr>
        <w:pStyle w:val="ListBullet2"/>
      </w:pPr>
      <w:r w:rsidRPr="006D0D7E">
        <w:t>disclosure requirements</w:t>
      </w:r>
    </w:p>
    <w:p w:rsidR="00000000" w:rsidRPr="006D0D7E" w:rsidP="006D0D7E">
      <w:pPr>
        <w:pStyle w:val="ListBullet"/>
      </w:pPr>
      <w:r w:rsidRPr="006D0D7E">
        <w:t>methodology and sources of information</w:t>
      </w:r>
      <w:r w:rsidRPr="006D0D7E">
        <w:t xml:space="preserve"> relating to assessing insurance cover and placing risk.</w:t>
      </w:r>
    </w:p>
    <w:p w:rsidR="00000000" w:rsidRPr="006D0D7E" w:rsidP="006D0D7E">
      <w:pPr>
        <w:pStyle w:val="AllowPageBreak"/>
      </w:pPr>
    </w:p>
    <w:p w:rsidR="00000000" w:rsidRPr="006D0D7E" w:rsidP="006D0D7E">
      <w:pPr>
        <w:pStyle w:val="Heading1"/>
      </w:pPr>
      <w:bookmarkStart w:id="4" w:name="O_1222657"/>
      <w:bookmarkEnd w:id="4"/>
      <w:r w:rsidRPr="006D0D7E">
        <w:t>Assessment Conditions</w:t>
      </w:r>
    </w:p>
    <w:p w:rsidR="00000000" w:rsidRPr="006D0D7E" w:rsidP="00B714F8">
      <w:pPr>
        <w:pStyle w:val="BodyText"/>
      </w:pPr>
      <w:r w:rsidRPr="006D0D7E">
        <w:t>Skills in this unit must be demonstrated in a workplace or simulated environment where the</w:t>
      </w:r>
      <w:r w:rsidRPr="006D0D7E">
        <w:rPr>
          <w:rStyle w:val="SpecialBold"/>
        </w:rPr>
        <w:t xml:space="preserve"> </w:t>
      </w:r>
      <w:r w:rsidRPr="006D0D7E">
        <w:t>conditions are typical of those in a working environment in this in</w:t>
      </w:r>
      <w:r w:rsidRPr="006D0D7E">
        <w:t>dustry.</w:t>
      </w:r>
    </w:p>
    <w:p w:rsidR="00000000" w:rsidRPr="006D0D7E" w:rsidP="00B714F8">
      <w:pPr>
        <w:pStyle w:val="BodyText"/>
      </w:pPr>
      <w:r w:rsidRPr="006D0D7E">
        <w:t>This includes access to:</w:t>
      </w:r>
    </w:p>
    <w:p w:rsidR="00000000" w:rsidRPr="006D0D7E" w:rsidP="006D0D7E">
      <w:pPr>
        <w:pStyle w:val="ListBullet"/>
      </w:pPr>
      <w:r w:rsidRPr="006D0D7E">
        <w:t>office equipment, technology and software</w:t>
      </w:r>
    </w:p>
    <w:p w:rsidR="00000000" w:rsidRPr="006D0D7E" w:rsidP="006D0D7E">
      <w:pPr>
        <w:pStyle w:val="ListBullet"/>
      </w:pPr>
      <w:r w:rsidRPr="006D0D7E">
        <w:t>organisational records and relevant documents</w:t>
      </w:r>
    </w:p>
    <w:p w:rsidR="00000000" w:rsidRPr="006D0D7E" w:rsidP="006D0D7E">
      <w:pPr>
        <w:pStyle w:val="ListBullet"/>
      </w:pPr>
      <w:r w:rsidRPr="006D0D7E">
        <w:t>organisational policies and procedures.</w:t>
      </w:r>
    </w:p>
    <w:p w:rsidR="00000000" w:rsidRPr="006D0D7E" w:rsidP="006D0D7E">
      <w:pPr>
        <w:pStyle w:val="List"/>
      </w:pPr>
    </w:p>
    <w:p w:rsidR="00000000" w:rsidRPr="006D0D7E" w:rsidP="00B714F8">
      <w:pPr>
        <w:pStyle w:val="BodyText"/>
      </w:pPr>
      <w:r w:rsidRPr="006D0D7E">
        <w:t>Assessors of this unit must satisfy the requirements for assessors in applicable vocational education and training legislation, frameworks and/or standards.</w:t>
      </w:r>
    </w:p>
    <w:p w:rsidR="00000000" w:rsidRPr="006D0D7E" w:rsidP="006D0D7E">
      <w:pPr>
        <w:pStyle w:val="Heading1"/>
      </w:pPr>
      <w:bookmarkStart w:id="5" w:name="O_1222669"/>
      <w:bookmarkEnd w:id="5"/>
      <w:r w:rsidRPr="006D0D7E">
        <w:t>Links</w:t>
      </w:r>
    </w:p>
    <w:p w:rsidR="00000000" w:rsidRPr="006D0D7E" w:rsidP="00B714F8">
      <w:pPr>
        <w:pStyle w:val="BodyText"/>
      </w:pPr>
      <w:r w:rsidRPr="006D0D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C677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D0D7E" w:rsidP="006D0D7E"/>
    <w:sectPr w:rsidSect="006D0D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D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D7E" w:rsidRPr="00B714F8" w:rsidP="00B714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D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4F8" w:rsidP="006D0D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14F8" w:rsidP="006D0D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14F8" w:rsidP="006D0D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D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4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D7E" w:rsidRPr="00B714F8" w:rsidP="00B714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D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4F8" w:rsidRPr="002D2AF8" w:rsidP="006D0D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FNSIBK416 Deliver insurance broking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714F8" w:rsidP="006D0D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34B3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1AF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E691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D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D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D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D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D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D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D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D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D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D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D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D7E"/>
  </w:style>
  <w:style w:type="character" w:customStyle="1" w:styleId="Heading1Char">
    <w:name w:val="Heading 1 Char"/>
    <w:basedOn w:val="DefaultParagraphFont"/>
    <w:link w:val="Heading1"/>
    <w:rsid w:val="006D0D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D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D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0D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0D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0D7E"/>
    <w:rPr>
      <w:b/>
      <w:spacing w:val="0"/>
    </w:rPr>
  </w:style>
  <w:style w:type="paragraph" w:styleId="ListBullet2">
    <w:name w:val="List Bullet 2"/>
    <w:basedOn w:val="List2"/>
    <w:rsid w:val="006D0D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0D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D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0D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D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D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D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D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D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D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D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D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D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D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D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D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D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D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D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D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D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0D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0D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D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D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0D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D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D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D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D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D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D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D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D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0D7E"/>
    <w:rPr>
      <w:i/>
    </w:rPr>
  </w:style>
  <w:style w:type="paragraph" w:styleId="Caption">
    <w:name w:val="caption"/>
    <w:basedOn w:val="BodyText"/>
    <w:next w:val="Normal"/>
    <w:qFormat/>
    <w:rsid w:val="006D0D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D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D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D7E"/>
  </w:style>
  <w:style w:type="paragraph" w:styleId="TableofFigures">
    <w:name w:val="table of figures"/>
    <w:basedOn w:val="Normal"/>
    <w:next w:val="Normal"/>
    <w:semiHidden/>
    <w:rsid w:val="006D0D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D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0D7E"/>
    <w:rPr>
      <w:rFonts w:ascii="Wingdings" w:hAnsi="Wingdings"/>
    </w:rPr>
  </w:style>
  <w:style w:type="paragraph" w:customStyle="1" w:styleId="TableHeading">
    <w:name w:val="Table Heading"/>
    <w:basedOn w:val="HeadingBase"/>
    <w:rsid w:val="006D0D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D7E"/>
    <w:rPr>
      <w:color w:val="0033CC"/>
      <w:u w:val="none"/>
    </w:rPr>
  </w:style>
  <w:style w:type="paragraph" w:customStyle="1" w:styleId="BodyTextRight">
    <w:name w:val="Body Text Right"/>
    <w:basedOn w:val="BodyText"/>
    <w:rsid w:val="006D0D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D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D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D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D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D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D7E"/>
    <w:rPr>
      <w:sz w:val="32"/>
    </w:rPr>
  </w:style>
  <w:style w:type="paragraph" w:customStyle="1" w:styleId="HeadingProcedure">
    <w:name w:val="Heading Procedure"/>
    <w:basedOn w:val="HeadingBase"/>
    <w:next w:val="Normal"/>
    <w:rsid w:val="006D0D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D7E"/>
    <w:pPr>
      <w:spacing w:before="60" w:after="60"/>
    </w:pPr>
  </w:style>
  <w:style w:type="paragraph" w:styleId="ListContinue">
    <w:name w:val="List Continue"/>
    <w:basedOn w:val="List"/>
    <w:rsid w:val="006D0D7E"/>
    <w:pPr>
      <w:ind w:firstLine="0"/>
    </w:pPr>
  </w:style>
  <w:style w:type="paragraph" w:customStyle="1" w:styleId="ListNote">
    <w:name w:val="List Note"/>
    <w:basedOn w:val="List"/>
    <w:rsid w:val="006D0D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D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D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D7E"/>
    <w:rPr>
      <w:rFonts w:ascii="Courier New" w:hAnsi="Courier New"/>
    </w:rPr>
  </w:style>
  <w:style w:type="paragraph" w:customStyle="1" w:styleId="NoteBullet">
    <w:name w:val="Note Bullet"/>
    <w:basedOn w:val="Note"/>
    <w:rsid w:val="006D0D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D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D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D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D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0D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D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D7E"/>
    <w:rPr>
      <w:b/>
      <w:smallCaps/>
    </w:rPr>
  </w:style>
  <w:style w:type="paragraph" w:customStyle="1" w:styleId="TableListNumber">
    <w:name w:val="Table List Number"/>
    <w:basedOn w:val="ListNumber"/>
    <w:rsid w:val="006D0D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D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D7E"/>
    <w:pPr>
      <w:numPr>
        <w:numId w:val="9"/>
      </w:numPr>
    </w:pPr>
  </w:style>
  <w:style w:type="paragraph" w:customStyle="1" w:styleId="ListAlpha2">
    <w:name w:val="List Alpha 2"/>
    <w:basedOn w:val="List2"/>
    <w:rsid w:val="006D0D7E"/>
    <w:pPr>
      <w:numPr>
        <w:numId w:val="8"/>
      </w:numPr>
    </w:pPr>
  </w:style>
  <w:style w:type="paragraph" w:styleId="List2">
    <w:name w:val="List 2"/>
    <w:basedOn w:val="BodyText"/>
    <w:rsid w:val="006D0D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D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D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D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D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D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0D7E"/>
    <w:pPr>
      <w:numPr>
        <w:numId w:val="4"/>
      </w:numPr>
    </w:pPr>
  </w:style>
  <w:style w:type="paragraph" w:styleId="ListContinue2">
    <w:name w:val="List Continue 2"/>
    <w:basedOn w:val="List2"/>
    <w:rsid w:val="006D0D7E"/>
    <w:pPr>
      <w:ind w:firstLine="0"/>
    </w:pPr>
  </w:style>
  <w:style w:type="paragraph" w:styleId="ListContinue3">
    <w:name w:val="List Continue 3"/>
    <w:basedOn w:val="List3"/>
    <w:rsid w:val="006D0D7E"/>
    <w:pPr>
      <w:ind w:left="1021" w:firstLine="0"/>
    </w:pPr>
  </w:style>
  <w:style w:type="paragraph" w:styleId="ListContinue4">
    <w:name w:val="List Continue 4"/>
    <w:basedOn w:val="List4"/>
    <w:rsid w:val="006D0D7E"/>
    <w:pPr>
      <w:ind w:firstLine="0"/>
    </w:pPr>
  </w:style>
  <w:style w:type="paragraph" w:styleId="ListContinue5">
    <w:name w:val="List Continue 5"/>
    <w:basedOn w:val="List5"/>
    <w:rsid w:val="006D0D7E"/>
    <w:pPr>
      <w:ind w:firstLine="0"/>
    </w:pPr>
  </w:style>
  <w:style w:type="paragraph" w:styleId="ListNumber3">
    <w:name w:val="List Number 3"/>
    <w:basedOn w:val="List3"/>
    <w:rsid w:val="006D0D7E"/>
    <w:pPr>
      <w:numPr>
        <w:numId w:val="5"/>
      </w:numPr>
    </w:pPr>
  </w:style>
  <w:style w:type="paragraph" w:styleId="ListNumber4">
    <w:name w:val="List Number 4"/>
    <w:basedOn w:val="List4"/>
    <w:rsid w:val="006D0D7E"/>
    <w:pPr>
      <w:numPr>
        <w:numId w:val="6"/>
      </w:numPr>
    </w:pPr>
  </w:style>
  <w:style w:type="paragraph" w:styleId="ListNumber5">
    <w:name w:val="List Number 5"/>
    <w:basedOn w:val="List5"/>
    <w:rsid w:val="006D0D7E"/>
    <w:pPr>
      <w:numPr>
        <w:numId w:val="7"/>
      </w:numPr>
    </w:pPr>
  </w:style>
  <w:style w:type="paragraph" w:styleId="BlockText">
    <w:name w:val="Block Text"/>
    <w:basedOn w:val="Normal"/>
    <w:rsid w:val="006D0D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D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D7E"/>
    <w:rPr>
      <w:sz w:val="16"/>
      <w:vertAlign w:val="superscript"/>
    </w:rPr>
  </w:style>
  <w:style w:type="character" w:customStyle="1" w:styleId="Symbols">
    <w:name w:val="Symbols"/>
    <w:basedOn w:val="DefaultParagraphFont"/>
    <w:rsid w:val="006D0D7E"/>
    <w:rPr>
      <w:rFonts w:ascii="Symbol" w:hAnsi="Symbol"/>
    </w:rPr>
  </w:style>
  <w:style w:type="character" w:customStyle="1" w:styleId="MenuOptions">
    <w:name w:val="Menu Options"/>
    <w:basedOn w:val="DefaultParagraphFont"/>
    <w:rsid w:val="006D0D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D7E"/>
    <w:rPr>
      <w:b/>
    </w:rPr>
  </w:style>
  <w:style w:type="character" w:customStyle="1" w:styleId="Underlined">
    <w:name w:val="Underlined"/>
    <w:basedOn w:val="DefaultParagraphFont"/>
    <w:rsid w:val="006D0D7E"/>
    <w:rPr>
      <w:u w:val="single"/>
    </w:rPr>
  </w:style>
  <w:style w:type="paragraph" w:customStyle="1" w:styleId="TableBodyTextRight">
    <w:name w:val="Table Body Text Right"/>
    <w:basedOn w:val="TableBodyText"/>
    <w:rsid w:val="006D0D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D7E"/>
    <w:rPr>
      <w:sz w:val="18"/>
    </w:rPr>
  </w:style>
  <w:style w:type="paragraph" w:customStyle="1" w:styleId="BodySmallRight">
    <w:name w:val="Body Small Right"/>
    <w:basedOn w:val="BodyTextRight"/>
    <w:rsid w:val="006D0D7E"/>
    <w:rPr>
      <w:sz w:val="18"/>
      <w:szCs w:val="18"/>
    </w:rPr>
  </w:style>
  <w:style w:type="paragraph" w:customStyle="1" w:styleId="MarginEdition">
    <w:name w:val="Margin Edition"/>
    <w:basedOn w:val="MarginNote"/>
    <w:rsid w:val="006D0D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D7E"/>
    <w:rPr>
      <w:sz w:val="2"/>
      <w:szCs w:val="2"/>
    </w:rPr>
  </w:style>
  <w:style w:type="character" w:customStyle="1" w:styleId="Small">
    <w:name w:val="Small"/>
    <w:basedOn w:val="DefaultParagraphFont"/>
    <w:rsid w:val="006D0D7E"/>
    <w:rPr>
      <w:sz w:val="16"/>
    </w:rPr>
  </w:style>
  <w:style w:type="paragraph" w:customStyle="1" w:styleId="WideTable">
    <w:name w:val="Wide Table"/>
    <w:basedOn w:val="Normal"/>
    <w:rsid w:val="006D0D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D7E"/>
  </w:style>
  <w:style w:type="paragraph" w:styleId="Quote">
    <w:name w:val="Quote"/>
    <w:basedOn w:val="Heading1"/>
    <w:link w:val="QuoteChar"/>
    <w:qFormat/>
    <w:rsid w:val="006D0D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D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D7E"/>
    <w:pPr>
      <w:pageBreakBefore/>
    </w:pPr>
  </w:style>
  <w:style w:type="paragraph" w:customStyle="1" w:styleId="Border">
    <w:name w:val="Border"/>
    <w:basedOn w:val="Normal"/>
    <w:qFormat/>
    <w:rsid w:val="006D0D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D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D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D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D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D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D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D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D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D7E"/>
    <w:rPr>
      <w:u w:val="single"/>
    </w:rPr>
  </w:style>
  <w:style w:type="character" w:customStyle="1" w:styleId="BoldandItalics">
    <w:name w:val="Bold and Italics"/>
    <w:qFormat/>
    <w:rsid w:val="006D0D7E"/>
    <w:rPr>
      <w:b/>
      <w:i/>
      <w:u w:val="none"/>
    </w:rPr>
  </w:style>
  <w:style w:type="paragraph" w:styleId="BalloonText">
    <w:name w:val="Balloon Text"/>
    <w:basedOn w:val="Normal"/>
    <w:link w:val="BalloonTextChar"/>
    <w:rsid w:val="006D0D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D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D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D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D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D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D7E"/>
    <w:pPr>
      <w:spacing w:before="0" w:after="0"/>
    </w:pPr>
  </w:style>
  <w:style w:type="paragraph" w:customStyle="1" w:styleId="BodyTextBold">
    <w:name w:val="Body Text Bold"/>
    <w:basedOn w:val="BodyText"/>
    <w:qFormat/>
    <w:rsid w:val="006D0D7E"/>
    <w:rPr>
      <w:b/>
    </w:rPr>
  </w:style>
  <w:style w:type="character" w:styleId="Hyperlink">
    <w:name w:val="Hyperlink"/>
    <w:basedOn w:val="DefaultParagraphFont"/>
    <w:uiPriority w:val="99"/>
    <w:unhideWhenUsed/>
    <w:rsid w:val="00B714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2899</Characters>
  <Application>Microsoft Office Word</Application>
  <DocSecurity>0</DocSecurity>
  <Lines>82</Lines>
  <Paragraphs>66</Paragraphs>
  <ScaleCrop>false</ScaleCrop>
  <Company>Author-it Software Corporation Ltd.</Company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FNSIBK416 Deliver insurance broking services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