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B48" w:rsidP="00494B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FNSFPL619 Prepare advice in life insurance</w:t>
      </w:r>
      <w:r>
        <w:fldChar w:fldCharType="end"/>
      </w:r>
    </w:p>
    <w:p w:rsidR="00494B48" w:rsidP="00494B48">
      <w:pPr>
        <w:pStyle w:val="Version"/>
        <w:sectPr w:rsidSect="00C95B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B6C" w:rsidP="00C95B6C">
      <w:pPr>
        <w:pStyle w:val="SuperHeading"/>
      </w:pPr>
      <w:r w:rsidRPr="00C95B6C">
        <w:t>Assessment Requirements for FNSFPL619 Prepare advice in life insurance</w:t>
      </w:r>
    </w:p>
    <w:p w:rsidR="00000000" w:rsidRPr="00C95B6C" w:rsidP="00C95B6C">
      <w:pPr>
        <w:pStyle w:val="Heading1"/>
      </w:pPr>
      <w:bookmarkStart w:id="1" w:name="O_1132715"/>
      <w:bookmarkEnd w:id="1"/>
      <w:r w:rsidRPr="00C95B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9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B6C" w:rsidP="00C95B6C">
            <w:pPr>
              <w:pStyle w:val="BodyText"/>
            </w:pPr>
            <w:r w:rsidRPr="00C95B6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B6C">
            <w:pPr>
              <w:pStyle w:val="BodyText"/>
              <w:rPr>
                <w:lang w:val="en-NZ"/>
              </w:rPr>
            </w:pPr>
            <w:r w:rsidRPr="00C95B6C">
              <w:rPr>
                <w:rStyle w:val="SpecialBold"/>
              </w:rPr>
              <w:t>Comments</w:t>
            </w:r>
          </w:p>
        </w:tc>
      </w:tr>
      <w:tr w:rsidTr="00C95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B6C">
            <w:pPr>
              <w:pStyle w:val="BodyText"/>
              <w:rPr>
                <w:lang w:val="en-NZ"/>
              </w:rPr>
            </w:pPr>
            <w:r w:rsidRPr="00C95B6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B6C" w:rsidP="00C95B6C">
            <w:pPr>
              <w:pStyle w:val="BodyText"/>
            </w:pPr>
            <w:r w:rsidRPr="00C95B6C">
              <w:t>This version first released with FNS Financial Services Training Package Version 5.0.</w:t>
            </w:r>
          </w:p>
        </w:tc>
      </w:tr>
    </w:tbl>
    <w:p w:rsidR="00000000" w:rsidRPr="00C95B6C" w:rsidP="00C95B6C">
      <w:pPr>
        <w:pStyle w:val="BodyText"/>
      </w:pPr>
    </w:p>
    <w:p w:rsidR="00000000" w:rsidRPr="00C95B6C" w:rsidP="00C95B6C">
      <w:pPr>
        <w:pStyle w:val="AllowPageBreak"/>
      </w:pPr>
    </w:p>
    <w:p w:rsidR="00000000" w:rsidRPr="00C95B6C" w:rsidP="00C95B6C">
      <w:pPr>
        <w:pStyle w:val="Heading1"/>
      </w:pPr>
      <w:bookmarkStart w:id="2" w:name="O_1132718"/>
      <w:bookmarkEnd w:id="2"/>
      <w:r w:rsidRPr="00C95B6C">
        <w:t>Performance Evidence</w:t>
      </w:r>
    </w:p>
    <w:p w:rsidR="00000000" w:rsidRPr="00C95B6C" w:rsidP="00494B48">
      <w:pPr>
        <w:pStyle w:val="BodyText"/>
      </w:pPr>
      <w:r w:rsidRPr="00C95B6C">
        <w:t>The candidate must demonstrate the ability to complete the tasks outlined in the elements, performance criteria and foundation skills of this unit, including evidence of the ability to:</w:t>
      </w:r>
    </w:p>
    <w:p w:rsidR="00000000" w:rsidRPr="00C95B6C" w:rsidP="00C95B6C">
      <w:pPr>
        <w:pStyle w:val="ListBullet"/>
      </w:pPr>
      <w:r w:rsidRPr="00C95B6C">
        <w:t>prepare accurate and ethical advice on life insu</w:t>
      </w:r>
      <w:r w:rsidRPr="00C95B6C">
        <w:t>rance products and/or services for at least two different clients.</w:t>
      </w:r>
    </w:p>
    <w:p w:rsidR="00000000" w:rsidRPr="00C95B6C" w:rsidP="00C95B6C">
      <w:pPr>
        <w:pStyle w:val="List"/>
      </w:pPr>
    </w:p>
    <w:p w:rsidR="00000000" w:rsidRPr="00C95B6C" w:rsidP="00494B48">
      <w:pPr>
        <w:pStyle w:val="BodyText"/>
      </w:pPr>
      <w:r w:rsidRPr="00C95B6C">
        <w:t>In the course of the above, the candidate must:</w:t>
      </w:r>
    </w:p>
    <w:p w:rsidR="00000000" w:rsidRPr="00C95B6C" w:rsidP="00C95B6C">
      <w:pPr>
        <w:pStyle w:val="ListBullet"/>
      </w:pPr>
      <w:r w:rsidRPr="00C95B6C">
        <w:t>interpret and comply with industry regulations and codes of practice</w:t>
      </w:r>
    </w:p>
    <w:p w:rsidR="00000000" w:rsidRPr="00C95B6C" w:rsidP="00C95B6C">
      <w:pPr>
        <w:pStyle w:val="ListBullet"/>
      </w:pPr>
      <w:r w:rsidRPr="00C95B6C">
        <w:t>analyse client needs, financial situation and risk profile, and prepare appropriate strategies or solutions relating to life insurance</w:t>
      </w:r>
    </w:p>
    <w:p w:rsidR="00000000" w:rsidRPr="00C95B6C" w:rsidP="00C95B6C">
      <w:pPr>
        <w:pStyle w:val="ListBullet"/>
      </w:pPr>
      <w:r w:rsidRPr="00C95B6C">
        <w:t>implement the solution, plan, policy or transaction once agreed by the client and complete documentation.</w:t>
      </w:r>
    </w:p>
    <w:p w:rsidR="00000000" w:rsidRPr="00C95B6C" w:rsidP="00C95B6C">
      <w:pPr>
        <w:pStyle w:val="AllowPageBreak"/>
      </w:pPr>
    </w:p>
    <w:p w:rsidR="00000000" w:rsidRPr="00C95B6C" w:rsidP="00C95B6C">
      <w:pPr>
        <w:pStyle w:val="Heading1"/>
      </w:pPr>
      <w:bookmarkStart w:id="3" w:name="O_1132717"/>
      <w:bookmarkEnd w:id="3"/>
      <w:r w:rsidRPr="00C95B6C">
        <w:t>Knowledge Evidence</w:t>
      </w:r>
    </w:p>
    <w:p w:rsidR="00000000" w:rsidRPr="00C95B6C" w:rsidP="00494B48">
      <w:pPr>
        <w:pStyle w:val="BodyText"/>
      </w:pPr>
      <w:r w:rsidRPr="00C95B6C">
        <w:t>The candidate must be able to demonstrate knowledge to complete the tasks outlined in the elements, performance criteria and foundation skills of this unit, including knowledge of:</w:t>
      </w:r>
    </w:p>
    <w:p w:rsidR="00000000" w:rsidRPr="00C95B6C" w:rsidP="00C95B6C">
      <w:pPr>
        <w:pStyle w:val="BodyTextBold"/>
      </w:pPr>
      <w:r w:rsidRPr="00C95B6C">
        <w:t>Generic knowledge</w:t>
      </w:r>
    </w:p>
    <w:p w:rsidR="00000000" w:rsidRPr="00C95B6C" w:rsidP="00C95B6C">
      <w:pPr>
        <w:pStyle w:val="ListBullet"/>
      </w:pPr>
      <w:r w:rsidRPr="00C95B6C">
        <w:t>legal environment, including disc</w:t>
      </w:r>
      <w:r w:rsidRPr="00C95B6C">
        <w:t>losure and compliance covering:</w:t>
      </w:r>
    </w:p>
    <w:p w:rsidR="00000000" w:rsidRPr="00C95B6C" w:rsidP="00C95B6C">
      <w:pPr>
        <w:pStyle w:val="ListBullet2"/>
      </w:pPr>
      <w:r w:rsidRPr="00C95B6C">
        <w:t>role of the authorised representative or adviser</w:t>
      </w:r>
    </w:p>
    <w:p w:rsidR="00000000" w:rsidRPr="00C95B6C" w:rsidP="00C95B6C">
      <w:pPr>
        <w:pStyle w:val="ListBullet2"/>
      </w:pPr>
      <w:r w:rsidRPr="00C95B6C">
        <w:t xml:space="preserve">relevant legal principles relating to the Corporations Act, Australian Securities and Investments Commission (ASIC) Act, Insurance Contracts Act, Life Insurance Act, Privacy </w:t>
      </w:r>
      <w:r w:rsidRPr="00C95B6C">
        <w:t>Amendment (Private Sector) Act, and Competition and Consumer Act</w:t>
      </w:r>
    </w:p>
    <w:p w:rsidR="00000000" w:rsidRPr="00C95B6C" w:rsidP="00C95B6C">
      <w:pPr>
        <w:pStyle w:val="ListBullet2"/>
      </w:pPr>
      <w:r w:rsidRPr="00C95B6C">
        <w:t>relationship between ethics and regulatory requirements, including good faith, faith, utmost good faith, full disclosure of remuneration and fees, and other conflicts of interest that may inf</w:t>
      </w:r>
      <w:r w:rsidRPr="00C95B6C">
        <w:t>luence authorised representative’s recommendation</w:t>
      </w:r>
    </w:p>
    <w:p w:rsidR="00000000" w:rsidRPr="00C95B6C" w:rsidP="00C95B6C">
      <w:pPr>
        <w:pStyle w:val="ListBullet2"/>
      </w:pPr>
      <w:r w:rsidRPr="00C95B6C">
        <w:t>relevant industry standards and codes of practice</w:t>
      </w:r>
    </w:p>
    <w:p w:rsidR="00000000" w:rsidRPr="00C95B6C" w:rsidP="00C95B6C">
      <w:pPr>
        <w:pStyle w:val="ListBullet2"/>
      </w:pPr>
      <w:r w:rsidRPr="00C95B6C">
        <w:t>regulatory guidelines</w:t>
      </w:r>
    </w:p>
    <w:p w:rsidR="00000000" w:rsidRPr="00C95B6C" w:rsidP="00C95B6C">
      <w:pPr>
        <w:pStyle w:val="ListBullet2"/>
      </w:pPr>
      <w:r w:rsidRPr="00C95B6C">
        <w:t>internal and external complaints resolution procedures</w:t>
      </w:r>
    </w:p>
    <w:p w:rsidR="00000000" w:rsidRPr="00C95B6C" w:rsidP="00C95B6C">
      <w:pPr>
        <w:pStyle w:val="ListBullet"/>
      </w:pPr>
      <w:r w:rsidRPr="00C95B6C">
        <w:t>economic environment, including:</w:t>
      </w:r>
    </w:p>
    <w:p w:rsidR="00000000" w:rsidRPr="00C95B6C" w:rsidP="00C95B6C">
      <w:pPr>
        <w:pStyle w:val="ListBullet2"/>
      </w:pPr>
      <w:r w:rsidRPr="00C95B6C">
        <w:t>characteristics and impact of economic and business cycles</w:t>
      </w:r>
    </w:p>
    <w:p w:rsidR="00000000" w:rsidRPr="00C95B6C" w:rsidP="00C95B6C">
      <w:pPr>
        <w:pStyle w:val="ListBullet2"/>
      </w:pPr>
      <w:r w:rsidRPr="00C95B6C">
        <w:t>interest rates and exchange rates</w:t>
      </w:r>
    </w:p>
    <w:p w:rsidR="00000000" w:rsidRPr="00C95B6C" w:rsidP="00C95B6C">
      <w:pPr>
        <w:pStyle w:val="ListBullet2"/>
      </w:pPr>
      <w:r w:rsidRPr="00C95B6C">
        <w:t>inflation</w:t>
      </w:r>
    </w:p>
    <w:p w:rsidR="00000000" w:rsidRPr="00C95B6C" w:rsidP="00C95B6C">
      <w:pPr>
        <w:pStyle w:val="ListBullet2"/>
      </w:pPr>
      <w:r w:rsidRPr="00C95B6C">
        <w:t>government monetary and fiscal policy</w:t>
      </w:r>
    </w:p>
    <w:p w:rsidR="00000000" w:rsidRPr="00C95B6C" w:rsidP="00C95B6C">
      <w:pPr>
        <w:pStyle w:val="ListBullet"/>
      </w:pPr>
      <w:r w:rsidRPr="00C95B6C">
        <w:t>operation of financial markets, including:</w:t>
      </w:r>
    </w:p>
    <w:p w:rsidR="00000000" w:rsidRPr="00C95B6C" w:rsidP="00C95B6C">
      <w:pPr>
        <w:pStyle w:val="ListBullet2"/>
      </w:pPr>
      <w:r w:rsidRPr="00C95B6C">
        <w:t>roles played by intermediaries and issuers</w:t>
      </w:r>
    </w:p>
    <w:p w:rsidR="00000000" w:rsidRPr="00C95B6C" w:rsidP="00C95B6C">
      <w:pPr>
        <w:pStyle w:val="ListBullet2"/>
      </w:pPr>
      <w:r w:rsidRPr="00C95B6C">
        <w:t>structure and interrelation</w:t>
      </w:r>
      <w:r w:rsidRPr="00C95B6C">
        <w:t>ships within financial markets</w:t>
      </w:r>
    </w:p>
    <w:p w:rsidR="00000000" w:rsidRPr="00C95B6C" w:rsidP="00C95B6C">
      <w:pPr>
        <w:pStyle w:val="ListBullet2"/>
      </w:pPr>
      <w:r w:rsidRPr="00C95B6C">
        <w:t>interrelationship between industry sectors</w:t>
      </w:r>
    </w:p>
    <w:p w:rsidR="00000000" w:rsidRPr="00C95B6C" w:rsidP="00C95B6C">
      <w:pPr>
        <w:pStyle w:val="ListBullet"/>
      </w:pPr>
      <w:r w:rsidRPr="00C95B6C">
        <w:t>financial products, including:</w:t>
      </w:r>
    </w:p>
    <w:p w:rsidR="00000000" w:rsidRPr="00C95B6C" w:rsidP="00C95B6C">
      <w:pPr>
        <w:pStyle w:val="ListBullet2"/>
      </w:pPr>
      <w:r w:rsidRPr="00C95B6C">
        <w:t>concept of a financial product: general definition, and specific inclusions and exclusions</w:t>
      </w:r>
    </w:p>
    <w:p w:rsidR="00000000" w:rsidRPr="00C95B6C" w:rsidP="00C95B6C">
      <w:pPr>
        <w:pStyle w:val="ListBullet2"/>
      </w:pPr>
      <w:r w:rsidRPr="00C95B6C">
        <w:t>types of financial investment products</w:t>
      </w:r>
    </w:p>
    <w:p w:rsidR="00000000" w:rsidRPr="00C95B6C" w:rsidP="00C95B6C">
      <w:pPr>
        <w:pStyle w:val="ListBullet2"/>
      </w:pPr>
      <w:r w:rsidRPr="00C95B6C">
        <w:t>types of financial risk products</w:t>
      </w:r>
    </w:p>
    <w:p w:rsidR="00000000" w:rsidRPr="00C95B6C" w:rsidP="00C95B6C">
      <w:pPr>
        <w:pStyle w:val="ListBullet"/>
      </w:pPr>
      <w:r w:rsidRPr="00C95B6C">
        <w:t>aspects of ongoing service provision, including:</w:t>
      </w:r>
    </w:p>
    <w:p w:rsidR="00000000" w:rsidRPr="00C95B6C" w:rsidP="00C95B6C">
      <w:pPr>
        <w:pStyle w:val="ListBullet2"/>
      </w:pPr>
      <w:r w:rsidRPr="00C95B6C">
        <w:t>reporting on performance</w:t>
      </w:r>
    </w:p>
    <w:p w:rsidR="00000000" w:rsidRPr="00C95B6C" w:rsidP="00C95B6C">
      <w:pPr>
        <w:pStyle w:val="ListBullet2"/>
      </w:pPr>
      <w:r w:rsidRPr="00C95B6C">
        <w:t>using effective communication skills</w:t>
      </w:r>
    </w:p>
    <w:p w:rsidR="00000000" w:rsidRPr="00C95B6C" w:rsidP="00C95B6C">
      <w:pPr>
        <w:pStyle w:val="ListBullet2"/>
      </w:pPr>
      <w:r w:rsidRPr="00C95B6C">
        <w:t>preparing required records and documentation</w:t>
      </w:r>
    </w:p>
    <w:p w:rsidR="00000000" w:rsidRPr="00C95B6C" w:rsidP="00C95B6C">
      <w:pPr>
        <w:pStyle w:val="ListBullet2"/>
      </w:pPr>
      <w:r w:rsidRPr="00C95B6C">
        <w:t>reviewing of solution, plan, policy or transaction.</w:t>
      </w:r>
    </w:p>
    <w:p w:rsidR="00000000" w:rsidRPr="00C95B6C" w:rsidP="00C95B6C">
      <w:pPr>
        <w:pStyle w:val="List"/>
      </w:pPr>
    </w:p>
    <w:p w:rsidR="00000000" w:rsidRPr="00C95B6C" w:rsidP="00C95B6C">
      <w:pPr>
        <w:pStyle w:val="BodyTextBold"/>
      </w:pPr>
      <w:r w:rsidRPr="00C95B6C">
        <w:t>Specialist k</w:t>
      </w:r>
      <w:r w:rsidRPr="00C95B6C">
        <w:t>nowledge</w:t>
      </w:r>
    </w:p>
    <w:p w:rsidR="00000000" w:rsidRPr="00C95B6C" w:rsidP="00C95B6C">
      <w:pPr>
        <w:pStyle w:val="ListBullet"/>
      </w:pPr>
      <w:r w:rsidRPr="00C95B6C">
        <w:t>operation of insurance markets, including:</w:t>
      </w:r>
    </w:p>
    <w:p w:rsidR="00000000" w:rsidRPr="00C95B6C" w:rsidP="00C95B6C">
      <w:pPr>
        <w:pStyle w:val="ListBullet2"/>
      </w:pPr>
      <w:r w:rsidRPr="00C95B6C">
        <w:t>definition of insurance product</w:t>
      </w:r>
    </w:p>
    <w:p w:rsidR="00000000" w:rsidRPr="00C95B6C" w:rsidP="00C95B6C">
      <w:pPr>
        <w:pStyle w:val="ListBullet2"/>
      </w:pPr>
      <w:r w:rsidRPr="00C95B6C">
        <w:t>characteristics and participants of the Australian insurance market</w:t>
      </w:r>
    </w:p>
    <w:p w:rsidR="00000000" w:rsidRPr="00C95B6C" w:rsidP="00C95B6C">
      <w:pPr>
        <w:pStyle w:val="ListBullet2"/>
      </w:pPr>
      <w:r w:rsidRPr="00C95B6C">
        <w:t>roles played by intermediaries</w:t>
      </w:r>
    </w:p>
    <w:p w:rsidR="00000000" w:rsidRPr="00C95B6C" w:rsidP="00C95B6C">
      <w:pPr>
        <w:pStyle w:val="ListBullet"/>
      </w:pPr>
      <w:r w:rsidRPr="00C95B6C">
        <w:t>types of insurance products, including risk insurance products, invest</w:t>
      </w:r>
      <w:r w:rsidRPr="00C95B6C">
        <w:t>ment life insurance products and general insurance products</w:t>
      </w:r>
    </w:p>
    <w:p w:rsidR="00000000" w:rsidRPr="00C95B6C" w:rsidP="00C95B6C">
      <w:pPr>
        <w:pStyle w:val="ListBullet"/>
      </w:pPr>
      <w:r w:rsidRPr="00C95B6C">
        <w:t>key aspects of insurance products:</w:t>
      </w:r>
    </w:p>
    <w:p w:rsidR="00000000" w:rsidRPr="00C95B6C" w:rsidP="00C95B6C">
      <w:pPr>
        <w:pStyle w:val="ListBullet2"/>
      </w:pPr>
      <w:r w:rsidRPr="00C95B6C">
        <w:t>conditions, exclusions and levels of coverage of risk transfer products</w:t>
      </w:r>
    </w:p>
    <w:p w:rsidR="00000000" w:rsidRPr="00C95B6C" w:rsidP="00C95B6C">
      <w:pPr>
        <w:pStyle w:val="ListBullet2"/>
      </w:pPr>
      <w:r w:rsidRPr="00C95B6C">
        <w:t>pricing</w:t>
      </w:r>
    </w:p>
    <w:p w:rsidR="00000000" w:rsidRPr="00C95B6C" w:rsidP="00C95B6C">
      <w:pPr>
        <w:pStyle w:val="ListBullet"/>
      </w:pPr>
      <w:r w:rsidRPr="00C95B6C">
        <w:t>taxation issues in relation to insurance products and markets</w:t>
      </w:r>
    </w:p>
    <w:p w:rsidR="00000000" w:rsidRPr="00C95B6C" w:rsidP="00C95B6C">
      <w:pPr>
        <w:pStyle w:val="ListBullet"/>
      </w:pPr>
      <w:r w:rsidRPr="00C95B6C">
        <w:t>advisory functions, including:</w:t>
      </w:r>
    </w:p>
    <w:p w:rsidR="00000000" w:rsidRPr="00C95B6C" w:rsidP="00C95B6C">
      <w:pPr>
        <w:pStyle w:val="ListBullet2"/>
      </w:pPr>
      <w:r w:rsidRPr="00C95B6C">
        <w:t>role of insurance adviser, broker or agent</w:t>
      </w:r>
    </w:p>
    <w:p w:rsidR="00000000" w:rsidRPr="00C95B6C" w:rsidP="00C95B6C">
      <w:pPr>
        <w:pStyle w:val="ListBullet2"/>
      </w:pPr>
      <w:r w:rsidRPr="00C95B6C">
        <w:t>participants in the insurance advisory services market</w:t>
      </w:r>
    </w:p>
    <w:p w:rsidR="00000000" w:rsidRPr="00C95B6C" w:rsidP="00C95B6C">
      <w:pPr>
        <w:pStyle w:val="ListBullet2"/>
      </w:pPr>
      <w:r w:rsidRPr="00C95B6C">
        <w:t>range of services provided</w:t>
      </w:r>
    </w:p>
    <w:p w:rsidR="00000000" w:rsidRPr="00C95B6C" w:rsidP="00C95B6C">
      <w:pPr>
        <w:pStyle w:val="ListBullet2"/>
      </w:pPr>
      <w:r w:rsidRPr="00C95B6C">
        <w:t>profile and financial information of the client</w:t>
      </w:r>
    </w:p>
    <w:p w:rsidR="00000000" w:rsidRPr="00C95B6C" w:rsidP="00C95B6C">
      <w:pPr>
        <w:pStyle w:val="ListBullet2"/>
      </w:pPr>
      <w:r w:rsidRPr="00C95B6C">
        <w:t>appropriateness of a risk assessment</w:t>
      </w:r>
    </w:p>
    <w:p w:rsidR="00000000" w:rsidRPr="00C95B6C" w:rsidP="00C95B6C">
      <w:pPr>
        <w:pStyle w:val="ListBullet"/>
      </w:pPr>
      <w:r w:rsidRPr="00C95B6C">
        <w:t>theories of i</w:t>
      </w:r>
      <w:r w:rsidRPr="00C95B6C">
        <w:t>nvestment, portfolio management and management of investment and risk, including:</w:t>
      </w:r>
    </w:p>
    <w:p w:rsidR="00000000" w:rsidRPr="00C95B6C" w:rsidP="00C95B6C">
      <w:pPr>
        <w:pStyle w:val="ListBullet2"/>
      </w:pPr>
      <w:r w:rsidRPr="00C95B6C">
        <w:t>investment concepts</w:t>
      </w:r>
    </w:p>
    <w:p w:rsidR="00000000" w:rsidRPr="00C95B6C" w:rsidP="00C95B6C">
      <w:pPr>
        <w:pStyle w:val="ListBullet2"/>
      </w:pPr>
      <w:r w:rsidRPr="00C95B6C">
        <w:t>investment strategies</w:t>
      </w:r>
    </w:p>
    <w:p w:rsidR="00000000" w:rsidRPr="00C95B6C" w:rsidP="00C95B6C">
      <w:pPr>
        <w:pStyle w:val="ListBullet2"/>
      </w:pPr>
      <w:r w:rsidRPr="00C95B6C">
        <w:t>identification of types of risk</w:t>
      </w:r>
    </w:p>
    <w:p w:rsidR="00000000" w:rsidRPr="00C95B6C" w:rsidP="00C95B6C">
      <w:pPr>
        <w:pStyle w:val="ListBullet2"/>
      </w:pPr>
      <w:r w:rsidRPr="00C95B6C">
        <w:t>client risk profile.</w:t>
      </w:r>
    </w:p>
    <w:p w:rsidR="00000000" w:rsidRPr="00C95B6C" w:rsidP="00C95B6C">
      <w:pPr>
        <w:pStyle w:val="ListBullet"/>
      </w:pPr>
      <w:r w:rsidRPr="00C95B6C">
        <w:t>aspects of life insurance:</w:t>
      </w:r>
    </w:p>
    <w:p w:rsidR="00000000" w:rsidRPr="00C95B6C" w:rsidP="00C95B6C">
      <w:pPr>
        <w:pStyle w:val="ListBullet2"/>
      </w:pPr>
      <w:r w:rsidRPr="00C95B6C">
        <w:t>types and classes of life insurance products and policies</w:t>
      </w:r>
    </w:p>
    <w:p w:rsidR="00000000" w:rsidRPr="00C95B6C" w:rsidP="00C95B6C">
      <w:pPr>
        <w:pStyle w:val="ListBullet2"/>
      </w:pPr>
      <w:r w:rsidRPr="00C95B6C">
        <w:t>standard cover and deviations</w:t>
      </w:r>
    </w:p>
    <w:p w:rsidR="00000000" w:rsidRPr="00C95B6C" w:rsidP="00C95B6C">
      <w:pPr>
        <w:pStyle w:val="ListBullet2"/>
      </w:pPr>
      <w:r w:rsidRPr="00C95B6C">
        <w:t>product development</w:t>
      </w:r>
    </w:p>
    <w:p w:rsidR="00000000" w:rsidRPr="00C95B6C" w:rsidP="00C95B6C">
      <w:pPr>
        <w:pStyle w:val="ListBullet2"/>
      </w:pPr>
      <w:r w:rsidRPr="00C95B6C">
        <w:t>policy wording</w:t>
      </w:r>
    </w:p>
    <w:p w:rsidR="00000000" w:rsidRPr="00C95B6C" w:rsidP="00C95B6C">
      <w:pPr>
        <w:pStyle w:val="ListBullet2"/>
      </w:pPr>
      <w:r w:rsidRPr="00C95B6C">
        <w:t>underwriting</w:t>
      </w:r>
    </w:p>
    <w:p w:rsidR="00000000" w:rsidRPr="00C95B6C" w:rsidP="00C95B6C">
      <w:pPr>
        <w:pStyle w:val="ListBullet2"/>
      </w:pPr>
      <w:r w:rsidRPr="00C95B6C">
        <w:t>insurance claims</w:t>
      </w:r>
    </w:p>
    <w:p w:rsidR="00000000" w:rsidRPr="00C95B6C" w:rsidP="00C95B6C">
      <w:pPr>
        <w:pStyle w:val="ListBullet2"/>
      </w:pPr>
      <w:r w:rsidRPr="00C95B6C">
        <w:t>premium rating and risk assessment</w:t>
      </w:r>
    </w:p>
    <w:p w:rsidR="00000000" w:rsidRPr="00C95B6C" w:rsidP="00C95B6C">
      <w:pPr>
        <w:pStyle w:val="ListBullet2"/>
      </w:pPr>
      <w:r w:rsidRPr="00C95B6C">
        <w:t>types of investment strategies and components of life insurance prod</w:t>
      </w:r>
      <w:r w:rsidRPr="00C95B6C">
        <w:t>ucts.</w:t>
      </w:r>
    </w:p>
    <w:p w:rsidR="00000000" w:rsidRPr="00C95B6C" w:rsidP="00C95B6C">
      <w:pPr>
        <w:pStyle w:val="AllowPageBreak"/>
      </w:pPr>
    </w:p>
    <w:p w:rsidR="00000000" w:rsidRPr="00C95B6C" w:rsidP="00C95B6C">
      <w:pPr>
        <w:pStyle w:val="Heading1"/>
      </w:pPr>
      <w:bookmarkStart w:id="4" w:name="O_1132716"/>
      <w:bookmarkEnd w:id="4"/>
      <w:r w:rsidRPr="00C95B6C">
        <w:t>Assessment Conditions</w:t>
      </w:r>
    </w:p>
    <w:p w:rsidR="00000000" w:rsidRPr="00C95B6C" w:rsidP="00494B48">
      <w:pPr>
        <w:pStyle w:val="BodyText"/>
      </w:pPr>
      <w:r w:rsidRPr="00C95B6C">
        <w:t>Skills in this unit must be demonstrated in a workplace or simulated environment where the conditions are typical of those in a working environment in this industry.</w:t>
      </w:r>
    </w:p>
    <w:p w:rsidR="00000000" w:rsidRPr="00C95B6C" w:rsidP="00494B48">
      <w:pPr>
        <w:pStyle w:val="BodyText"/>
      </w:pPr>
      <w:r w:rsidRPr="00C95B6C">
        <w:t>This includes access to:</w:t>
      </w:r>
    </w:p>
    <w:p w:rsidR="00000000" w:rsidRPr="00C95B6C" w:rsidP="00C95B6C">
      <w:pPr>
        <w:pStyle w:val="ListBullet"/>
      </w:pPr>
      <w:r w:rsidRPr="00C95B6C">
        <w:t>office equipment,</w:t>
      </w:r>
      <w:r w:rsidRPr="00C95B6C">
        <w:t xml:space="preserve"> technology, software and peripherals</w:t>
      </w:r>
    </w:p>
    <w:p w:rsidR="00000000" w:rsidRPr="00C95B6C" w:rsidP="00C95B6C">
      <w:pPr>
        <w:pStyle w:val="ListBullet"/>
      </w:pPr>
      <w:r w:rsidRPr="00C95B6C">
        <w:t>life insurance product information.</w:t>
      </w:r>
    </w:p>
    <w:p w:rsidR="00000000" w:rsidRPr="00C95B6C" w:rsidP="00C95B6C">
      <w:pPr>
        <w:pStyle w:val="List"/>
      </w:pPr>
    </w:p>
    <w:p w:rsidR="00000000" w:rsidRPr="00C95B6C" w:rsidP="00494B48">
      <w:pPr>
        <w:pStyle w:val="BodyText"/>
      </w:pPr>
      <w:r w:rsidRPr="00C95B6C">
        <w:t>Assessors of this unit must satisfy the requirements for assessors in applicable vocational education and training legislation, frameworks and/or standards.</w:t>
      </w:r>
    </w:p>
    <w:p w:rsidR="00000000" w:rsidRPr="00C95B6C" w:rsidP="00C95B6C">
      <w:pPr>
        <w:pStyle w:val="Heading1"/>
      </w:pPr>
      <w:bookmarkStart w:id="5" w:name="O_1132714"/>
      <w:bookmarkEnd w:id="5"/>
      <w:r w:rsidRPr="00C95B6C">
        <w:t>Links</w:t>
      </w:r>
    </w:p>
    <w:p w:rsidR="00000000" w:rsidRPr="00C95B6C" w:rsidP="00494B48">
      <w:pPr>
        <w:pStyle w:val="BodyText"/>
      </w:pPr>
      <w:r w:rsidRPr="00C95B6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B06A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95B6C" w:rsidP="00C95B6C"/>
    <w:sectPr w:rsidSect="00C95B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6C" w:rsidRPr="00494B48" w:rsidP="00494B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48" w:rsidP="00C95B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4B48" w:rsidP="00C95B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4B48" w:rsidP="00C95B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B6C" w:rsidRPr="00494B48" w:rsidP="00494B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48" w:rsidRPr="002D2AF8" w:rsidP="00C95B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FNSFPL619 Prepare advice in life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94B48" w:rsidP="00C95B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DC0E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94B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2472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B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B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B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B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B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B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B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B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B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B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B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B6C"/>
  </w:style>
  <w:style w:type="character" w:customStyle="1" w:styleId="Heading1Char">
    <w:name w:val="Heading 1 Char"/>
    <w:basedOn w:val="DefaultParagraphFont"/>
    <w:link w:val="Heading1"/>
    <w:rsid w:val="00C95B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B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B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5B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5B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5B6C"/>
    <w:rPr>
      <w:b/>
      <w:spacing w:val="0"/>
    </w:rPr>
  </w:style>
  <w:style w:type="paragraph" w:styleId="ListBullet2">
    <w:name w:val="List Bullet 2"/>
    <w:basedOn w:val="List2"/>
    <w:rsid w:val="00C95B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5B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B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5B6C"/>
    <w:rPr>
      <w:b/>
    </w:rPr>
  </w:style>
  <w:style w:type="character" w:customStyle="1" w:styleId="Heading2Char">
    <w:name w:val="Heading 2 Char"/>
    <w:basedOn w:val="DefaultParagraphFont"/>
    <w:link w:val="Heading2"/>
    <w:rsid w:val="00C95B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B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B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B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B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B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B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B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B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B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B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B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B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B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5B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B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B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B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5B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B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B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B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B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B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B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B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B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5B6C"/>
    <w:rPr>
      <w:i/>
    </w:rPr>
  </w:style>
  <w:style w:type="paragraph" w:styleId="Caption">
    <w:name w:val="caption"/>
    <w:basedOn w:val="BodyText"/>
    <w:next w:val="Normal"/>
    <w:qFormat/>
    <w:rsid w:val="00C95B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B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B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B6C"/>
  </w:style>
  <w:style w:type="paragraph" w:styleId="TableofFigures">
    <w:name w:val="table of figures"/>
    <w:basedOn w:val="Normal"/>
    <w:next w:val="Normal"/>
    <w:semiHidden/>
    <w:rsid w:val="00C95B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B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5B6C"/>
    <w:rPr>
      <w:rFonts w:ascii="Wingdings" w:hAnsi="Wingdings"/>
    </w:rPr>
  </w:style>
  <w:style w:type="paragraph" w:customStyle="1" w:styleId="TableHeading">
    <w:name w:val="Table Heading"/>
    <w:basedOn w:val="HeadingBase"/>
    <w:rsid w:val="00C95B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B6C"/>
    <w:rPr>
      <w:color w:val="0033CC"/>
      <w:u w:val="none"/>
    </w:rPr>
  </w:style>
  <w:style w:type="paragraph" w:customStyle="1" w:styleId="BodyTextRight">
    <w:name w:val="Body Text Right"/>
    <w:basedOn w:val="BodyText"/>
    <w:rsid w:val="00C95B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B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B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B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B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B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B6C"/>
    <w:rPr>
      <w:sz w:val="32"/>
    </w:rPr>
  </w:style>
  <w:style w:type="paragraph" w:customStyle="1" w:styleId="HeadingProcedure">
    <w:name w:val="Heading Procedure"/>
    <w:basedOn w:val="HeadingBase"/>
    <w:next w:val="Normal"/>
    <w:rsid w:val="00C95B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B6C"/>
    <w:pPr>
      <w:spacing w:before="60" w:after="60"/>
    </w:pPr>
  </w:style>
  <w:style w:type="paragraph" w:styleId="ListContinue">
    <w:name w:val="List Continue"/>
    <w:basedOn w:val="List"/>
    <w:rsid w:val="00C95B6C"/>
    <w:pPr>
      <w:ind w:firstLine="0"/>
    </w:pPr>
  </w:style>
  <w:style w:type="paragraph" w:customStyle="1" w:styleId="ListNote">
    <w:name w:val="List Note"/>
    <w:basedOn w:val="List"/>
    <w:rsid w:val="00C95B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B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B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B6C"/>
    <w:rPr>
      <w:rFonts w:ascii="Courier New" w:hAnsi="Courier New"/>
    </w:rPr>
  </w:style>
  <w:style w:type="paragraph" w:customStyle="1" w:styleId="NoteBullet">
    <w:name w:val="Note Bullet"/>
    <w:basedOn w:val="Note"/>
    <w:rsid w:val="00C95B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B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B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B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B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5B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B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B6C"/>
    <w:rPr>
      <w:b/>
      <w:smallCaps/>
    </w:rPr>
  </w:style>
  <w:style w:type="paragraph" w:customStyle="1" w:styleId="TableListNumber">
    <w:name w:val="Table List Number"/>
    <w:basedOn w:val="ListNumber"/>
    <w:rsid w:val="00C95B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B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B6C"/>
    <w:pPr>
      <w:numPr>
        <w:numId w:val="9"/>
      </w:numPr>
    </w:pPr>
  </w:style>
  <w:style w:type="paragraph" w:customStyle="1" w:styleId="ListAlpha2">
    <w:name w:val="List Alpha 2"/>
    <w:basedOn w:val="List2"/>
    <w:rsid w:val="00C95B6C"/>
    <w:pPr>
      <w:numPr>
        <w:numId w:val="8"/>
      </w:numPr>
    </w:pPr>
  </w:style>
  <w:style w:type="paragraph" w:styleId="List2">
    <w:name w:val="List 2"/>
    <w:basedOn w:val="BodyText"/>
    <w:rsid w:val="00C95B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B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B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B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B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B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5B6C"/>
    <w:pPr>
      <w:numPr>
        <w:numId w:val="4"/>
      </w:numPr>
    </w:pPr>
  </w:style>
  <w:style w:type="paragraph" w:styleId="ListContinue2">
    <w:name w:val="List Continue 2"/>
    <w:basedOn w:val="List2"/>
    <w:rsid w:val="00C95B6C"/>
    <w:pPr>
      <w:ind w:firstLine="0"/>
    </w:pPr>
  </w:style>
  <w:style w:type="paragraph" w:styleId="ListContinue3">
    <w:name w:val="List Continue 3"/>
    <w:basedOn w:val="List3"/>
    <w:rsid w:val="00C95B6C"/>
    <w:pPr>
      <w:ind w:left="1021" w:firstLine="0"/>
    </w:pPr>
  </w:style>
  <w:style w:type="paragraph" w:styleId="ListContinue4">
    <w:name w:val="List Continue 4"/>
    <w:basedOn w:val="List4"/>
    <w:rsid w:val="00C95B6C"/>
    <w:pPr>
      <w:ind w:firstLine="0"/>
    </w:pPr>
  </w:style>
  <w:style w:type="paragraph" w:styleId="ListContinue5">
    <w:name w:val="List Continue 5"/>
    <w:basedOn w:val="List5"/>
    <w:rsid w:val="00C95B6C"/>
    <w:pPr>
      <w:ind w:firstLine="0"/>
    </w:pPr>
  </w:style>
  <w:style w:type="paragraph" w:styleId="ListNumber3">
    <w:name w:val="List Number 3"/>
    <w:basedOn w:val="List3"/>
    <w:rsid w:val="00C95B6C"/>
    <w:pPr>
      <w:numPr>
        <w:numId w:val="5"/>
      </w:numPr>
    </w:pPr>
  </w:style>
  <w:style w:type="paragraph" w:styleId="ListNumber4">
    <w:name w:val="List Number 4"/>
    <w:basedOn w:val="List4"/>
    <w:rsid w:val="00C95B6C"/>
    <w:pPr>
      <w:numPr>
        <w:numId w:val="6"/>
      </w:numPr>
    </w:pPr>
  </w:style>
  <w:style w:type="paragraph" w:styleId="ListNumber5">
    <w:name w:val="List Number 5"/>
    <w:basedOn w:val="List5"/>
    <w:rsid w:val="00C95B6C"/>
    <w:pPr>
      <w:numPr>
        <w:numId w:val="7"/>
      </w:numPr>
    </w:pPr>
  </w:style>
  <w:style w:type="paragraph" w:styleId="BlockText">
    <w:name w:val="Block Text"/>
    <w:basedOn w:val="Normal"/>
    <w:rsid w:val="00C95B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B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B6C"/>
    <w:rPr>
      <w:sz w:val="16"/>
      <w:vertAlign w:val="superscript"/>
    </w:rPr>
  </w:style>
  <w:style w:type="character" w:customStyle="1" w:styleId="Symbols">
    <w:name w:val="Symbols"/>
    <w:basedOn w:val="DefaultParagraphFont"/>
    <w:rsid w:val="00C95B6C"/>
    <w:rPr>
      <w:rFonts w:ascii="Symbol" w:hAnsi="Symbol"/>
    </w:rPr>
  </w:style>
  <w:style w:type="character" w:customStyle="1" w:styleId="MenuOptions">
    <w:name w:val="Menu Options"/>
    <w:basedOn w:val="DefaultParagraphFont"/>
    <w:rsid w:val="00C95B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B6C"/>
    <w:rPr>
      <w:b/>
    </w:rPr>
  </w:style>
  <w:style w:type="character" w:customStyle="1" w:styleId="Underlined">
    <w:name w:val="Underlined"/>
    <w:basedOn w:val="DefaultParagraphFont"/>
    <w:rsid w:val="00C95B6C"/>
    <w:rPr>
      <w:u w:val="single"/>
    </w:rPr>
  </w:style>
  <w:style w:type="paragraph" w:customStyle="1" w:styleId="TableBodyTextRight">
    <w:name w:val="Table Body Text Right"/>
    <w:basedOn w:val="TableBodyText"/>
    <w:rsid w:val="00C95B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B6C"/>
    <w:rPr>
      <w:sz w:val="18"/>
    </w:rPr>
  </w:style>
  <w:style w:type="paragraph" w:customStyle="1" w:styleId="BodySmallRight">
    <w:name w:val="Body Small Right"/>
    <w:basedOn w:val="BodyTextRight"/>
    <w:rsid w:val="00C95B6C"/>
    <w:rPr>
      <w:sz w:val="18"/>
      <w:szCs w:val="18"/>
    </w:rPr>
  </w:style>
  <w:style w:type="paragraph" w:customStyle="1" w:styleId="MarginEdition">
    <w:name w:val="Margin Edition"/>
    <w:basedOn w:val="MarginNote"/>
    <w:rsid w:val="00C95B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B6C"/>
    <w:rPr>
      <w:sz w:val="2"/>
      <w:szCs w:val="2"/>
    </w:rPr>
  </w:style>
  <w:style w:type="character" w:customStyle="1" w:styleId="Small">
    <w:name w:val="Small"/>
    <w:basedOn w:val="DefaultParagraphFont"/>
    <w:rsid w:val="00C95B6C"/>
    <w:rPr>
      <w:sz w:val="16"/>
    </w:rPr>
  </w:style>
  <w:style w:type="paragraph" w:customStyle="1" w:styleId="WideTable">
    <w:name w:val="Wide Table"/>
    <w:basedOn w:val="Normal"/>
    <w:rsid w:val="00C95B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B6C"/>
  </w:style>
  <w:style w:type="paragraph" w:styleId="Quote">
    <w:name w:val="Quote"/>
    <w:basedOn w:val="Heading1"/>
    <w:link w:val="QuoteChar"/>
    <w:qFormat/>
    <w:rsid w:val="00C95B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B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B6C"/>
    <w:pPr>
      <w:pageBreakBefore/>
    </w:pPr>
  </w:style>
  <w:style w:type="paragraph" w:customStyle="1" w:styleId="Border">
    <w:name w:val="Border"/>
    <w:basedOn w:val="Normal"/>
    <w:qFormat/>
    <w:rsid w:val="00C95B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B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B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B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B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B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B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B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B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B6C"/>
    <w:rPr>
      <w:u w:val="single"/>
    </w:rPr>
  </w:style>
  <w:style w:type="character" w:customStyle="1" w:styleId="BoldandItalics">
    <w:name w:val="Bold and Italics"/>
    <w:qFormat/>
    <w:rsid w:val="00C95B6C"/>
    <w:rPr>
      <w:b/>
      <w:i/>
      <w:u w:val="none"/>
    </w:rPr>
  </w:style>
  <w:style w:type="paragraph" w:styleId="BalloonText">
    <w:name w:val="Balloon Text"/>
    <w:basedOn w:val="Normal"/>
    <w:link w:val="BalloonTextChar"/>
    <w:rsid w:val="00C95B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B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B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B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B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B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B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4B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4081</Characters>
  <Application>Microsoft Office Word</Application>
  <DocSecurity>0</DocSecurity>
  <Lines>113</Lines>
  <Paragraphs>93</Paragraphs>
  <ScaleCrop>false</ScaleCrop>
  <Company>Author-it Software Corporation Ltd.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FNSFPL619 Prepare advice in life insurance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