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ACD" w:rsidP="00FC7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FNSFPL609 Prepare advice in managed investments</w:t>
      </w:r>
      <w:r>
        <w:fldChar w:fldCharType="end"/>
      </w:r>
    </w:p>
    <w:p w:rsidR="00FC7ACD" w:rsidP="00FC7ACD">
      <w:pPr>
        <w:pStyle w:val="Version"/>
        <w:sectPr w:rsidSect="006C1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A2C" w:rsidP="006C1A2C">
      <w:pPr>
        <w:pStyle w:val="SuperHeading"/>
      </w:pPr>
      <w:r w:rsidRPr="006C1A2C">
        <w:t>Assessment Requirements for FNSFPL609 Prepare advice in managed investments</w:t>
      </w:r>
    </w:p>
    <w:p w:rsidR="00000000" w:rsidRPr="006C1A2C" w:rsidP="006C1A2C">
      <w:pPr>
        <w:pStyle w:val="Heading1"/>
      </w:pPr>
      <w:bookmarkStart w:id="1" w:name="O_1132402"/>
      <w:bookmarkEnd w:id="1"/>
      <w:r w:rsidRPr="006C1A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1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2C" w:rsidP="006C1A2C">
            <w:pPr>
              <w:pStyle w:val="BodyText"/>
            </w:pPr>
            <w:r w:rsidRPr="006C1A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2C">
            <w:pPr>
              <w:pStyle w:val="BodyText"/>
              <w:rPr>
                <w:lang w:val="en-NZ"/>
              </w:rPr>
            </w:pPr>
            <w:r w:rsidRPr="006C1A2C">
              <w:rPr>
                <w:rStyle w:val="SpecialBold"/>
              </w:rPr>
              <w:t>Comments</w:t>
            </w:r>
          </w:p>
        </w:tc>
      </w:tr>
      <w:tr w:rsidTr="006C1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2C">
            <w:pPr>
              <w:pStyle w:val="BodyText"/>
              <w:rPr>
                <w:lang w:val="en-NZ"/>
              </w:rPr>
            </w:pPr>
            <w:r w:rsidRPr="006C1A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2C" w:rsidP="006C1A2C">
            <w:pPr>
              <w:pStyle w:val="BodyText"/>
            </w:pPr>
            <w:r w:rsidRPr="006C1A2C">
              <w:t>This version first released with FNS Financial Services Training Package Version 5.0.</w:t>
            </w:r>
          </w:p>
        </w:tc>
      </w:tr>
    </w:tbl>
    <w:p w:rsidR="00000000" w:rsidRPr="006C1A2C" w:rsidP="006C1A2C">
      <w:pPr>
        <w:pStyle w:val="BodyText"/>
      </w:pPr>
    </w:p>
    <w:p w:rsidR="00000000" w:rsidRPr="006C1A2C" w:rsidP="006C1A2C">
      <w:pPr>
        <w:pStyle w:val="AllowPageBreak"/>
      </w:pPr>
    </w:p>
    <w:p w:rsidR="00000000" w:rsidRPr="006C1A2C" w:rsidP="006C1A2C">
      <w:pPr>
        <w:pStyle w:val="Heading1"/>
      </w:pPr>
      <w:bookmarkStart w:id="2" w:name="O_1132405"/>
      <w:bookmarkEnd w:id="2"/>
      <w:r w:rsidRPr="006C1A2C">
        <w:t>Performance Evidence</w:t>
      </w:r>
    </w:p>
    <w:p w:rsidR="00000000" w:rsidRPr="006C1A2C" w:rsidP="00FC7ACD">
      <w:pPr>
        <w:pStyle w:val="BodyText"/>
      </w:pPr>
      <w:r w:rsidRPr="006C1A2C">
        <w:t>The candidate must demonstrate the ability to complete the tasks outlined in the elements, performance criteria and foundation skills of this unit, including evidence of the ability to:</w:t>
      </w:r>
    </w:p>
    <w:p w:rsidR="00000000" w:rsidRPr="006C1A2C" w:rsidP="006C1A2C">
      <w:pPr>
        <w:pStyle w:val="ListBullet"/>
      </w:pPr>
      <w:r w:rsidRPr="006C1A2C">
        <w:t>prepare accurate and ethical advice on managed i</w:t>
      </w:r>
      <w:r w:rsidRPr="006C1A2C">
        <w:t>nvestment products and/or services for at least two different clients.</w:t>
      </w:r>
    </w:p>
    <w:p w:rsidR="00000000" w:rsidRPr="006C1A2C" w:rsidP="006C1A2C">
      <w:pPr>
        <w:pStyle w:val="List"/>
      </w:pPr>
    </w:p>
    <w:p w:rsidR="00000000" w:rsidRPr="006C1A2C" w:rsidP="00FC7ACD">
      <w:pPr>
        <w:pStyle w:val="BodyText"/>
      </w:pPr>
      <w:r w:rsidRPr="006C1A2C">
        <w:t>In the course of the above, the candidate must:</w:t>
      </w:r>
    </w:p>
    <w:p w:rsidR="00000000" w:rsidRPr="006C1A2C" w:rsidP="006C1A2C">
      <w:pPr>
        <w:pStyle w:val="ListBullet"/>
      </w:pPr>
      <w:r w:rsidRPr="006C1A2C">
        <w:t>interpret and comply with industry regulations and codes of practice</w:t>
      </w:r>
    </w:p>
    <w:p w:rsidR="00000000" w:rsidRPr="006C1A2C" w:rsidP="006C1A2C">
      <w:pPr>
        <w:pStyle w:val="ListBullet"/>
      </w:pPr>
      <w:r w:rsidRPr="006C1A2C">
        <w:t>analyse client needs, financial situation and risk profile, and prepare appropriate strategies or solutions relating to managed investments</w:t>
      </w:r>
    </w:p>
    <w:p w:rsidR="00000000" w:rsidRPr="006C1A2C" w:rsidP="006C1A2C">
      <w:pPr>
        <w:pStyle w:val="ListBullet"/>
      </w:pPr>
      <w:r w:rsidRPr="006C1A2C">
        <w:t>implement the solution, plan, policy or transaction once agreed by the client and complete documentation.</w:t>
      </w:r>
    </w:p>
    <w:p w:rsidR="00000000" w:rsidRPr="006C1A2C" w:rsidP="006C1A2C">
      <w:pPr>
        <w:pStyle w:val="AllowPageBreak"/>
      </w:pPr>
    </w:p>
    <w:p w:rsidR="00000000" w:rsidRPr="006C1A2C" w:rsidP="006C1A2C">
      <w:pPr>
        <w:pStyle w:val="Heading1"/>
      </w:pPr>
      <w:bookmarkStart w:id="3" w:name="O_1132404"/>
      <w:bookmarkEnd w:id="3"/>
      <w:r w:rsidRPr="006C1A2C">
        <w:t>Knowledge Evidence</w:t>
      </w:r>
    </w:p>
    <w:p w:rsidR="00000000" w:rsidRPr="006C1A2C" w:rsidP="00FC7ACD">
      <w:pPr>
        <w:pStyle w:val="BodyText"/>
      </w:pPr>
      <w:r w:rsidRPr="006C1A2C">
        <w:t>The candidate must be able to demonstrate knowledge to complete the tasks outlined in the elements, performance criteria and foundation skills of this unit, including knowledge of:</w:t>
      </w:r>
    </w:p>
    <w:p w:rsidR="00000000" w:rsidRPr="006C1A2C" w:rsidP="00FC7ACD">
      <w:pPr>
        <w:pStyle w:val="Heading3"/>
      </w:pPr>
      <w:r w:rsidRPr="006C1A2C">
        <w:rPr>
          <w:rStyle w:val="SpecialBold"/>
        </w:rPr>
        <w:t>Generic knowledge</w:t>
      </w:r>
    </w:p>
    <w:p w:rsidR="00000000" w:rsidRPr="006C1A2C" w:rsidP="006C1A2C">
      <w:pPr>
        <w:pStyle w:val="ListBullet"/>
      </w:pPr>
      <w:r w:rsidRPr="006C1A2C">
        <w:t>economic environment, includ</w:t>
      </w:r>
      <w:r w:rsidRPr="006C1A2C">
        <w:t>ing:</w:t>
      </w:r>
    </w:p>
    <w:p w:rsidR="00000000" w:rsidRPr="006C1A2C" w:rsidP="006C1A2C">
      <w:pPr>
        <w:pStyle w:val="ListBullet2"/>
      </w:pPr>
      <w:r w:rsidRPr="006C1A2C">
        <w:t>characteristics and impact of economic and business cycles</w:t>
      </w:r>
    </w:p>
    <w:p w:rsidR="00000000" w:rsidRPr="006C1A2C" w:rsidP="006C1A2C">
      <w:pPr>
        <w:pStyle w:val="ListBullet2"/>
      </w:pPr>
      <w:r w:rsidRPr="006C1A2C">
        <w:t>interest rates and exchange rates</w:t>
      </w:r>
    </w:p>
    <w:p w:rsidR="00000000" w:rsidRPr="006C1A2C" w:rsidP="006C1A2C">
      <w:pPr>
        <w:pStyle w:val="ListBullet2"/>
      </w:pPr>
      <w:r w:rsidRPr="006C1A2C">
        <w:t>inflation</w:t>
      </w:r>
    </w:p>
    <w:p w:rsidR="00000000" w:rsidRPr="006C1A2C" w:rsidP="006C1A2C">
      <w:pPr>
        <w:pStyle w:val="ListBullet2"/>
      </w:pPr>
      <w:r w:rsidRPr="006C1A2C">
        <w:t>government monetary and fiscal policy</w:t>
      </w:r>
    </w:p>
    <w:p w:rsidR="00000000" w:rsidRPr="006C1A2C" w:rsidP="006C1A2C">
      <w:pPr>
        <w:pStyle w:val="ListBullet"/>
      </w:pPr>
      <w:r w:rsidRPr="006C1A2C">
        <w:t>operation of financial markets, including:</w:t>
      </w:r>
    </w:p>
    <w:p w:rsidR="00000000" w:rsidRPr="006C1A2C" w:rsidP="006C1A2C">
      <w:pPr>
        <w:pStyle w:val="ListBullet2"/>
      </w:pPr>
      <w:r w:rsidRPr="006C1A2C">
        <w:t>roles played by intermediaries and issuers</w:t>
      </w:r>
    </w:p>
    <w:p w:rsidR="00000000" w:rsidRPr="006C1A2C" w:rsidP="006C1A2C">
      <w:pPr>
        <w:pStyle w:val="ListBullet2"/>
      </w:pPr>
      <w:r w:rsidRPr="006C1A2C">
        <w:t>structure and interrelationships within financial markets</w:t>
      </w:r>
    </w:p>
    <w:p w:rsidR="00000000" w:rsidRPr="006C1A2C" w:rsidP="006C1A2C">
      <w:pPr>
        <w:pStyle w:val="ListBullet2"/>
      </w:pPr>
      <w:r w:rsidRPr="006C1A2C">
        <w:t>interrelationship between industry sectors</w:t>
      </w:r>
    </w:p>
    <w:p w:rsidR="00000000" w:rsidRPr="006C1A2C" w:rsidP="006C1A2C">
      <w:pPr>
        <w:pStyle w:val="ListBullet"/>
      </w:pPr>
      <w:r w:rsidRPr="006C1A2C">
        <w:t>financial products, including:</w:t>
      </w:r>
    </w:p>
    <w:p w:rsidR="00000000" w:rsidRPr="006C1A2C" w:rsidP="006C1A2C">
      <w:pPr>
        <w:pStyle w:val="ListBullet2"/>
      </w:pPr>
      <w:r w:rsidRPr="006C1A2C">
        <w:t>concept of a financial product: general definition, and specific inclusions and exclusions</w:t>
      </w:r>
    </w:p>
    <w:p w:rsidR="00000000" w:rsidRPr="006C1A2C" w:rsidP="006C1A2C">
      <w:pPr>
        <w:pStyle w:val="ListBullet2"/>
      </w:pPr>
      <w:r w:rsidRPr="006C1A2C">
        <w:t>types of financial investment p</w:t>
      </w:r>
      <w:r w:rsidRPr="006C1A2C">
        <w:t>roducts</w:t>
      </w:r>
    </w:p>
    <w:p w:rsidR="00000000" w:rsidRPr="006C1A2C" w:rsidP="006C1A2C">
      <w:pPr>
        <w:pStyle w:val="ListBullet2"/>
      </w:pPr>
      <w:r w:rsidRPr="006C1A2C">
        <w:t>types of financial risk products</w:t>
      </w:r>
    </w:p>
    <w:p w:rsidR="00000000" w:rsidRPr="006C1A2C" w:rsidP="006C1A2C">
      <w:pPr>
        <w:pStyle w:val="ListBullet"/>
      </w:pPr>
      <w:r w:rsidRPr="006C1A2C">
        <w:t>aspects of ongoing service provision, including:</w:t>
      </w:r>
    </w:p>
    <w:p w:rsidR="00000000" w:rsidRPr="006C1A2C" w:rsidP="006C1A2C">
      <w:pPr>
        <w:pStyle w:val="ListBullet2"/>
      </w:pPr>
      <w:r w:rsidRPr="006C1A2C">
        <w:t>reporting on performance</w:t>
      </w:r>
    </w:p>
    <w:p w:rsidR="00000000" w:rsidRPr="006C1A2C" w:rsidP="006C1A2C">
      <w:pPr>
        <w:pStyle w:val="ListBullet2"/>
      </w:pPr>
      <w:r w:rsidRPr="006C1A2C">
        <w:t>communicating comprehensively and clearly</w:t>
      </w:r>
    </w:p>
    <w:p w:rsidR="00000000" w:rsidRPr="006C1A2C" w:rsidP="006C1A2C">
      <w:pPr>
        <w:pStyle w:val="ListBullet2"/>
      </w:pPr>
      <w:r w:rsidRPr="006C1A2C">
        <w:t>reviewing of solution, plan, policy or transaction.</w:t>
      </w:r>
    </w:p>
    <w:p w:rsidR="00000000" w:rsidRPr="006C1A2C" w:rsidP="006C1A2C">
      <w:pPr>
        <w:pStyle w:val="List"/>
      </w:pPr>
    </w:p>
    <w:p w:rsidR="00000000" w:rsidRPr="006C1A2C" w:rsidP="00FC7ACD">
      <w:pPr>
        <w:pStyle w:val="Heading3"/>
      </w:pPr>
      <w:r w:rsidRPr="006C1A2C">
        <w:rPr>
          <w:rStyle w:val="SpecialBold"/>
        </w:rPr>
        <w:t>Specialist knowledge</w:t>
      </w:r>
    </w:p>
    <w:p w:rsidR="00000000" w:rsidRPr="006C1A2C" w:rsidP="006C1A2C">
      <w:pPr>
        <w:pStyle w:val="ListBullet"/>
      </w:pPr>
      <w:r w:rsidRPr="006C1A2C">
        <w:t>legal environment, including disclosure and compliance covering:</w:t>
      </w:r>
    </w:p>
    <w:p w:rsidR="00000000" w:rsidRPr="006C1A2C" w:rsidP="006C1A2C">
      <w:pPr>
        <w:pStyle w:val="ListBullet2"/>
      </w:pPr>
      <w:r w:rsidRPr="006C1A2C">
        <w:t>role of the authorised representative or adviser</w:t>
      </w:r>
    </w:p>
    <w:p w:rsidR="00000000" w:rsidRPr="006C1A2C" w:rsidP="006C1A2C">
      <w:pPr>
        <w:pStyle w:val="ListBullet2"/>
      </w:pPr>
      <w:r w:rsidRPr="006C1A2C">
        <w:t>relevant legal principles relating to the Corporations Act, Australian Securities and Investments Commission (ASIC) Act, Privacy Amendment (P</w:t>
      </w:r>
      <w:r w:rsidRPr="006C1A2C">
        <w:t>rivate Sector) Act, and Competition and Consumer Act</w:t>
      </w:r>
    </w:p>
    <w:p w:rsidR="00000000" w:rsidRPr="006C1A2C" w:rsidP="006C1A2C">
      <w:pPr>
        <w:pStyle w:val="ListBullet2"/>
      </w:pPr>
      <w:r w:rsidRPr="006C1A2C">
        <w:t>relationship between ethics and regulatory requirements, including good faith, utmost good faith, full disclosure of remuneration and fees, and other conflicts of interest that may influence authorised r</w:t>
      </w:r>
      <w:r w:rsidRPr="006C1A2C">
        <w:t>epresentative’s recommendation</w:t>
      </w:r>
    </w:p>
    <w:p w:rsidR="00000000" w:rsidRPr="006C1A2C" w:rsidP="006C1A2C">
      <w:pPr>
        <w:pStyle w:val="ListBullet2"/>
      </w:pPr>
      <w:r w:rsidRPr="006C1A2C">
        <w:t>relevant industry standards and codes of practice</w:t>
      </w:r>
    </w:p>
    <w:p w:rsidR="00000000" w:rsidRPr="006C1A2C" w:rsidP="006C1A2C">
      <w:pPr>
        <w:pStyle w:val="ListBullet2"/>
      </w:pPr>
      <w:r w:rsidRPr="006C1A2C">
        <w:t>regulatory guidelines</w:t>
      </w:r>
    </w:p>
    <w:p w:rsidR="00000000" w:rsidRPr="006C1A2C" w:rsidP="006C1A2C">
      <w:pPr>
        <w:pStyle w:val="ListBullet2"/>
      </w:pPr>
      <w:r w:rsidRPr="006C1A2C">
        <w:t>internal and external complaints resolution procedures</w:t>
      </w:r>
    </w:p>
    <w:p w:rsidR="00000000" w:rsidRPr="006C1A2C" w:rsidP="006C1A2C">
      <w:pPr>
        <w:pStyle w:val="ListBullet"/>
      </w:pPr>
      <w:r w:rsidRPr="006C1A2C">
        <w:t>managed investment products, including:</w:t>
      </w:r>
    </w:p>
    <w:p w:rsidR="00000000" w:rsidRPr="006C1A2C" w:rsidP="006C1A2C">
      <w:pPr>
        <w:pStyle w:val="ListBullet2"/>
      </w:pPr>
      <w:r w:rsidRPr="006C1A2C">
        <w:t>range of products offered under managed investments sche</w:t>
      </w:r>
      <w:r w:rsidRPr="006C1A2C">
        <w:t>mes, or a specific product offered under a scheme, including:</w:t>
      </w:r>
    </w:p>
    <w:p w:rsidR="00000000" w:rsidRPr="006C1A2C" w:rsidP="006C1A2C">
      <w:pPr>
        <w:pStyle w:val="ListBullet3"/>
      </w:pPr>
      <w:r w:rsidRPr="006C1A2C">
        <w:t>equity trusts, fixed interest trusts</w:t>
      </w:r>
    </w:p>
    <w:p w:rsidR="00000000" w:rsidRPr="006C1A2C" w:rsidP="006C1A2C">
      <w:pPr>
        <w:pStyle w:val="ListBullet3"/>
      </w:pPr>
      <w:r w:rsidRPr="006C1A2C">
        <w:t>film schemes</w:t>
      </w:r>
    </w:p>
    <w:p w:rsidR="00000000" w:rsidRPr="006C1A2C" w:rsidP="006C1A2C">
      <w:pPr>
        <w:pStyle w:val="ListBullet3"/>
      </w:pPr>
      <w:r w:rsidRPr="006C1A2C">
        <w:t>primary production schemes</w:t>
      </w:r>
    </w:p>
    <w:p w:rsidR="00000000" w:rsidRPr="006C1A2C" w:rsidP="006C1A2C">
      <w:pPr>
        <w:pStyle w:val="ListBullet3"/>
      </w:pPr>
      <w:r w:rsidRPr="006C1A2C">
        <w:t>property trusts, real estate investment strategies, valuation techniques, property management</w:t>
      </w:r>
    </w:p>
    <w:p w:rsidR="00000000" w:rsidRPr="006C1A2C" w:rsidP="006C1A2C">
      <w:pPr>
        <w:pStyle w:val="ListBullet3"/>
      </w:pPr>
      <w:r w:rsidRPr="006C1A2C">
        <w:t>serviced strata schemes</w:t>
      </w:r>
    </w:p>
    <w:p w:rsidR="00000000" w:rsidRPr="006C1A2C" w:rsidP="006C1A2C">
      <w:pPr>
        <w:pStyle w:val="ListBullet3"/>
      </w:pPr>
      <w:r w:rsidRPr="006C1A2C">
        <w:t>time-sharing schemes</w:t>
      </w:r>
    </w:p>
    <w:p w:rsidR="00000000" w:rsidRPr="006C1A2C" w:rsidP="006C1A2C">
      <w:pPr>
        <w:pStyle w:val="ListBullet2"/>
      </w:pPr>
      <w:r w:rsidRPr="006C1A2C">
        <w:t>types of risks associated with managed investment products</w:t>
      </w:r>
    </w:p>
    <w:p w:rsidR="00000000" w:rsidRPr="006C1A2C" w:rsidP="006C1A2C">
      <w:pPr>
        <w:pStyle w:val="ListBullet"/>
      </w:pPr>
      <w:r w:rsidRPr="006C1A2C">
        <w:t>taxation issues in relation to managed investment products and markets in which they operate</w:t>
      </w:r>
    </w:p>
    <w:p w:rsidR="00000000" w:rsidRPr="006C1A2C" w:rsidP="006C1A2C">
      <w:pPr>
        <w:pStyle w:val="ListBullet"/>
      </w:pPr>
      <w:r w:rsidRPr="006C1A2C">
        <w:t>theories of investment, portfolio management and management of investment and risk, including:</w:t>
      </w:r>
    </w:p>
    <w:p w:rsidR="00000000" w:rsidRPr="006C1A2C" w:rsidP="006C1A2C">
      <w:pPr>
        <w:pStyle w:val="ListBullet2"/>
      </w:pPr>
      <w:r w:rsidRPr="006C1A2C">
        <w:t>investment concepts and strategies</w:t>
      </w:r>
    </w:p>
    <w:p w:rsidR="00000000" w:rsidRPr="006C1A2C" w:rsidP="006C1A2C">
      <w:pPr>
        <w:pStyle w:val="ListBullet2"/>
      </w:pPr>
      <w:r w:rsidRPr="006C1A2C">
        <w:t>identification of types of risk</w:t>
      </w:r>
    </w:p>
    <w:p w:rsidR="00000000" w:rsidRPr="006C1A2C" w:rsidP="006C1A2C">
      <w:pPr>
        <w:pStyle w:val="ListBullet2"/>
      </w:pPr>
      <w:r w:rsidRPr="006C1A2C">
        <w:t>client risk profile.</w:t>
      </w:r>
    </w:p>
    <w:p w:rsidR="00000000" w:rsidRPr="006C1A2C" w:rsidP="006C1A2C">
      <w:pPr>
        <w:pStyle w:val="AllowPageBreak"/>
      </w:pPr>
    </w:p>
    <w:p w:rsidR="00000000" w:rsidRPr="006C1A2C" w:rsidP="006C1A2C">
      <w:pPr>
        <w:pStyle w:val="Heading1"/>
      </w:pPr>
      <w:bookmarkStart w:id="4" w:name="O_1132403"/>
      <w:bookmarkEnd w:id="4"/>
      <w:r w:rsidRPr="006C1A2C">
        <w:t>Assessment Conditions</w:t>
      </w:r>
    </w:p>
    <w:p w:rsidR="00000000" w:rsidRPr="006C1A2C" w:rsidP="00FC7ACD">
      <w:pPr>
        <w:pStyle w:val="BodyText"/>
      </w:pPr>
      <w:r w:rsidRPr="006C1A2C">
        <w:t>Skills in this unit must be dem</w:t>
      </w:r>
      <w:r w:rsidRPr="006C1A2C">
        <w:t>onstrated in a workplace or simulated environment where the conditions are typical of those in a working environment in this industry.</w:t>
      </w:r>
    </w:p>
    <w:p w:rsidR="00000000" w:rsidRPr="006C1A2C" w:rsidP="00FC7ACD">
      <w:pPr>
        <w:pStyle w:val="BodyText"/>
      </w:pPr>
      <w:r w:rsidRPr="006C1A2C">
        <w:t>This includes access to:</w:t>
      </w:r>
    </w:p>
    <w:p w:rsidR="00000000" w:rsidRPr="006C1A2C" w:rsidP="006C1A2C">
      <w:pPr>
        <w:pStyle w:val="ListBullet"/>
      </w:pPr>
      <w:r w:rsidRPr="006C1A2C">
        <w:t>organisational equipment, technology, software and peripherals</w:t>
      </w:r>
    </w:p>
    <w:p w:rsidR="00000000" w:rsidRPr="006C1A2C" w:rsidP="006C1A2C">
      <w:pPr>
        <w:pStyle w:val="ListBullet"/>
      </w:pPr>
      <w:r w:rsidRPr="006C1A2C">
        <w:t>managed investment product infor</w:t>
      </w:r>
      <w:r w:rsidRPr="006C1A2C">
        <w:t>mation.</w:t>
      </w:r>
    </w:p>
    <w:p w:rsidR="00000000" w:rsidRPr="006C1A2C" w:rsidP="006C1A2C">
      <w:pPr>
        <w:pStyle w:val="List"/>
      </w:pPr>
    </w:p>
    <w:p w:rsidR="00000000" w:rsidRPr="006C1A2C" w:rsidP="00FC7ACD">
      <w:pPr>
        <w:pStyle w:val="BodyText"/>
      </w:pPr>
      <w:r w:rsidRPr="006C1A2C">
        <w:t>Assessors of this unit must satisfy the requirements for assessors in applicable vocational education and training legislation, frameworks and/or standards.</w:t>
      </w:r>
    </w:p>
    <w:p w:rsidR="00000000" w:rsidRPr="006C1A2C" w:rsidP="006C1A2C">
      <w:pPr>
        <w:pStyle w:val="Heading1"/>
      </w:pPr>
      <w:bookmarkStart w:id="5" w:name="O_1132401"/>
      <w:bookmarkEnd w:id="5"/>
      <w:r w:rsidRPr="006C1A2C">
        <w:t>Links</w:t>
      </w:r>
    </w:p>
    <w:p w:rsidR="00000000" w:rsidRPr="006C1A2C" w:rsidP="00FC7ACD">
      <w:pPr>
        <w:pStyle w:val="BodyText"/>
      </w:pPr>
      <w:r w:rsidRPr="006C1A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4A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1A2C" w:rsidP="006C1A2C"/>
    <w:sectPr w:rsidSect="006C1A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2C" w:rsidRPr="00FC7ACD" w:rsidP="00FC7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D" w:rsidP="006C1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ACD" w:rsidP="006C1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ACD" w:rsidP="006C1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A2C" w:rsidRPr="00FC7ACD" w:rsidP="00FC7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D" w:rsidRPr="002D2AF8" w:rsidP="006C1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FNSFPL609 Prepare advice in managed investments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C7ACD" w:rsidP="006C1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CCC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0C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2AF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A2C"/>
  </w:style>
  <w:style w:type="character" w:customStyle="1" w:styleId="Heading1Char">
    <w:name w:val="Heading 1 Char"/>
    <w:basedOn w:val="DefaultParagraphFont"/>
    <w:link w:val="Heading1"/>
    <w:rsid w:val="006C1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A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1A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1A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A2C"/>
    <w:rPr>
      <w:b/>
      <w:spacing w:val="0"/>
    </w:rPr>
  </w:style>
  <w:style w:type="paragraph" w:styleId="ListBullet2">
    <w:name w:val="List Bullet 2"/>
    <w:basedOn w:val="List2"/>
    <w:rsid w:val="006C1A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1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1A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1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A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1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A2C"/>
    <w:rPr>
      <w:i/>
    </w:rPr>
  </w:style>
  <w:style w:type="paragraph" w:styleId="Caption">
    <w:name w:val="caption"/>
    <w:basedOn w:val="BodyText"/>
    <w:next w:val="Normal"/>
    <w:qFormat/>
    <w:rsid w:val="006C1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A2C"/>
  </w:style>
  <w:style w:type="paragraph" w:styleId="TableofFigures">
    <w:name w:val="table of figures"/>
    <w:basedOn w:val="Normal"/>
    <w:next w:val="Normal"/>
    <w:semiHidden/>
    <w:rsid w:val="006C1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A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1A2C"/>
    <w:rPr>
      <w:rFonts w:ascii="Wingdings" w:hAnsi="Wingdings"/>
    </w:rPr>
  </w:style>
  <w:style w:type="paragraph" w:customStyle="1" w:styleId="TableHeading">
    <w:name w:val="Table Heading"/>
    <w:basedOn w:val="HeadingBase"/>
    <w:rsid w:val="006C1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A2C"/>
    <w:rPr>
      <w:color w:val="0033CC"/>
      <w:u w:val="none"/>
    </w:rPr>
  </w:style>
  <w:style w:type="paragraph" w:customStyle="1" w:styleId="BodyTextRight">
    <w:name w:val="Body Text Right"/>
    <w:basedOn w:val="BodyText"/>
    <w:rsid w:val="006C1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A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A2C"/>
    <w:rPr>
      <w:sz w:val="32"/>
    </w:rPr>
  </w:style>
  <w:style w:type="paragraph" w:customStyle="1" w:styleId="HeadingProcedure">
    <w:name w:val="Heading Procedure"/>
    <w:basedOn w:val="HeadingBase"/>
    <w:next w:val="Normal"/>
    <w:rsid w:val="006C1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A2C"/>
    <w:pPr>
      <w:spacing w:before="60" w:after="60"/>
    </w:pPr>
  </w:style>
  <w:style w:type="paragraph" w:styleId="ListContinue">
    <w:name w:val="List Continue"/>
    <w:basedOn w:val="List"/>
    <w:rsid w:val="006C1A2C"/>
    <w:pPr>
      <w:ind w:firstLine="0"/>
    </w:pPr>
  </w:style>
  <w:style w:type="paragraph" w:customStyle="1" w:styleId="ListNote">
    <w:name w:val="List Note"/>
    <w:basedOn w:val="List"/>
    <w:rsid w:val="006C1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A2C"/>
    <w:rPr>
      <w:rFonts w:ascii="Courier New" w:hAnsi="Courier New"/>
    </w:rPr>
  </w:style>
  <w:style w:type="paragraph" w:customStyle="1" w:styleId="NoteBullet">
    <w:name w:val="Note Bullet"/>
    <w:basedOn w:val="Note"/>
    <w:rsid w:val="006C1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A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1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A2C"/>
    <w:rPr>
      <w:b/>
      <w:smallCaps/>
    </w:rPr>
  </w:style>
  <w:style w:type="paragraph" w:customStyle="1" w:styleId="TableListNumber">
    <w:name w:val="Table List Number"/>
    <w:basedOn w:val="ListNumber"/>
    <w:rsid w:val="006C1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A2C"/>
    <w:pPr>
      <w:numPr>
        <w:numId w:val="10"/>
      </w:numPr>
    </w:pPr>
  </w:style>
  <w:style w:type="paragraph" w:customStyle="1" w:styleId="ListAlpha2">
    <w:name w:val="List Alpha 2"/>
    <w:basedOn w:val="List2"/>
    <w:rsid w:val="006C1A2C"/>
    <w:pPr>
      <w:numPr>
        <w:numId w:val="9"/>
      </w:numPr>
    </w:pPr>
  </w:style>
  <w:style w:type="paragraph" w:styleId="List2">
    <w:name w:val="List 2"/>
    <w:basedOn w:val="BodyText"/>
    <w:rsid w:val="006C1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A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1A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1A2C"/>
    <w:pPr>
      <w:numPr>
        <w:numId w:val="5"/>
      </w:numPr>
    </w:pPr>
  </w:style>
  <w:style w:type="paragraph" w:styleId="ListContinue2">
    <w:name w:val="List Continue 2"/>
    <w:basedOn w:val="List2"/>
    <w:rsid w:val="006C1A2C"/>
    <w:pPr>
      <w:ind w:firstLine="0"/>
    </w:pPr>
  </w:style>
  <w:style w:type="paragraph" w:styleId="ListContinue3">
    <w:name w:val="List Continue 3"/>
    <w:basedOn w:val="List3"/>
    <w:rsid w:val="006C1A2C"/>
    <w:pPr>
      <w:ind w:left="1021" w:firstLine="0"/>
    </w:pPr>
  </w:style>
  <w:style w:type="paragraph" w:styleId="ListContinue4">
    <w:name w:val="List Continue 4"/>
    <w:basedOn w:val="List4"/>
    <w:rsid w:val="006C1A2C"/>
    <w:pPr>
      <w:ind w:firstLine="0"/>
    </w:pPr>
  </w:style>
  <w:style w:type="paragraph" w:styleId="ListContinue5">
    <w:name w:val="List Continue 5"/>
    <w:basedOn w:val="List5"/>
    <w:rsid w:val="006C1A2C"/>
    <w:pPr>
      <w:ind w:firstLine="0"/>
    </w:pPr>
  </w:style>
  <w:style w:type="paragraph" w:styleId="ListNumber3">
    <w:name w:val="List Number 3"/>
    <w:basedOn w:val="List3"/>
    <w:rsid w:val="006C1A2C"/>
    <w:pPr>
      <w:numPr>
        <w:numId w:val="6"/>
      </w:numPr>
    </w:pPr>
  </w:style>
  <w:style w:type="paragraph" w:styleId="ListNumber4">
    <w:name w:val="List Number 4"/>
    <w:basedOn w:val="List4"/>
    <w:rsid w:val="006C1A2C"/>
    <w:pPr>
      <w:numPr>
        <w:numId w:val="7"/>
      </w:numPr>
    </w:pPr>
  </w:style>
  <w:style w:type="paragraph" w:styleId="ListNumber5">
    <w:name w:val="List Number 5"/>
    <w:basedOn w:val="List5"/>
    <w:rsid w:val="006C1A2C"/>
    <w:pPr>
      <w:numPr>
        <w:numId w:val="8"/>
      </w:numPr>
    </w:pPr>
  </w:style>
  <w:style w:type="paragraph" w:styleId="BlockText">
    <w:name w:val="Block Text"/>
    <w:basedOn w:val="Normal"/>
    <w:rsid w:val="006C1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A2C"/>
    <w:rPr>
      <w:sz w:val="16"/>
      <w:vertAlign w:val="superscript"/>
    </w:rPr>
  </w:style>
  <w:style w:type="character" w:customStyle="1" w:styleId="Symbols">
    <w:name w:val="Symbols"/>
    <w:basedOn w:val="DefaultParagraphFont"/>
    <w:rsid w:val="006C1A2C"/>
    <w:rPr>
      <w:rFonts w:ascii="Symbol" w:hAnsi="Symbol"/>
    </w:rPr>
  </w:style>
  <w:style w:type="character" w:customStyle="1" w:styleId="MenuOptions">
    <w:name w:val="Menu Options"/>
    <w:basedOn w:val="DefaultParagraphFont"/>
    <w:rsid w:val="006C1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A2C"/>
    <w:rPr>
      <w:b/>
    </w:rPr>
  </w:style>
  <w:style w:type="character" w:customStyle="1" w:styleId="Underlined">
    <w:name w:val="Underlined"/>
    <w:basedOn w:val="DefaultParagraphFont"/>
    <w:rsid w:val="006C1A2C"/>
    <w:rPr>
      <w:u w:val="single"/>
    </w:rPr>
  </w:style>
  <w:style w:type="paragraph" w:customStyle="1" w:styleId="TableBodyTextRight">
    <w:name w:val="Table Body Text Right"/>
    <w:basedOn w:val="TableBodyText"/>
    <w:rsid w:val="006C1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A2C"/>
    <w:rPr>
      <w:sz w:val="18"/>
    </w:rPr>
  </w:style>
  <w:style w:type="paragraph" w:customStyle="1" w:styleId="BodySmallRight">
    <w:name w:val="Body Small Right"/>
    <w:basedOn w:val="BodyTextRight"/>
    <w:rsid w:val="006C1A2C"/>
    <w:rPr>
      <w:sz w:val="18"/>
      <w:szCs w:val="18"/>
    </w:rPr>
  </w:style>
  <w:style w:type="paragraph" w:customStyle="1" w:styleId="MarginEdition">
    <w:name w:val="Margin Edition"/>
    <w:basedOn w:val="MarginNote"/>
    <w:rsid w:val="006C1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A2C"/>
    <w:rPr>
      <w:sz w:val="2"/>
      <w:szCs w:val="2"/>
    </w:rPr>
  </w:style>
  <w:style w:type="character" w:customStyle="1" w:styleId="Small">
    <w:name w:val="Small"/>
    <w:basedOn w:val="DefaultParagraphFont"/>
    <w:rsid w:val="006C1A2C"/>
    <w:rPr>
      <w:sz w:val="16"/>
    </w:rPr>
  </w:style>
  <w:style w:type="paragraph" w:customStyle="1" w:styleId="WideTable">
    <w:name w:val="Wide Table"/>
    <w:basedOn w:val="Normal"/>
    <w:rsid w:val="006C1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A2C"/>
  </w:style>
  <w:style w:type="paragraph" w:styleId="Quote">
    <w:name w:val="Quote"/>
    <w:basedOn w:val="Heading1"/>
    <w:link w:val="QuoteChar"/>
    <w:qFormat/>
    <w:rsid w:val="006C1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A2C"/>
    <w:pPr>
      <w:pageBreakBefore/>
    </w:pPr>
  </w:style>
  <w:style w:type="paragraph" w:customStyle="1" w:styleId="Border">
    <w:name w:val="Border"/>
    <w:basedOn w:val="Normal"/>
    <w:qFormat/>
    <w:rsid w:val="006C1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A2C"/>
    <w:rPr>
      <w:u w:val="single"/>
    </w:rPr>
  </w:style>
  <w:style w:type="character" w:customStyle="1" w:styleId="BoldandItalics">
    <w:name w:val="Bold and Italics"/>
    <w:qFormat/>
    <w:rsid w:val="006C1A2C"/>
    <w:rPr>
      <w:b/>
      <w:i/>
      <w:u w:val="none"/>
    </w:rPr>
  </w:style>
  <w:style w:type="paragraph" w:styleId="BalloonText">
    <w:name w:val="Balloon Text"/>
    <w:basedOn w:val="Normal"/>
    <w:link w:val="BalloonTextChar"/>
    <w:rsid w:val="006C1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A2C"/>
    <w:pPr>
      <w:spacing w:before="0" w:after="0"/>
    </w:pPr>
  </w:style>
  <w:style w:type="paragraph" w:customStyle="1" w:styleId="BodyTextBold">
    <w:name w:val="Body Text Bold"/>
    <w:basedOn w:val="BodyText"/>
    <w:qFormat/>
    <w:rsid w:val="006C1A2C"/>
    <w:rPr>
      <w:b/>
    </w:rPr>
  </w:style>
  <w:style w:type="character" w:styleId="Hyperlink">
    <w:name w:val="Hyperlink"/>
    <w:basedOn w:val="DefaultParagraphFont"/>
    <w:uiPriority w:val="99"/>
    <w:unhideWhenUsed/>
    <w:rsid w:val="00FC7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3605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FNSFPL609 Prepare advice in managed investments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