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9C9" w:rsidP="00646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FNSFPL607 Prepare advice in margin lending</w:t>
      </w:r>
      <w:r>
        <w:fldChar w:fldCharType="end"/>
      </w:r>
    </w:p>
    <w:p w:rsidR="006469C9" w:rsidP="006469C9">
      <w:pPr>
        <w:pStyle w:val="Version"/>
        <w:sectPr w:rsidSect="00252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D79" w:rsidP="00252D79">
      <w:pPr>
        <w:pStyle w:val="SuperHeading"/>
      </w:pPr>
      <w:r w:rsidRPr="00252D79">
        <w:t>Assessment Requirements for FNSFPL607 Prepare advice in margin lending</w:t>
      </w:r>
    </w:p>
    <w:p w:rsidR="00000000" w:rsidRPr="00252D79" w:rsidP="00252D79">
      <w:pPr>
        <w:pStyle w:val="Heading1"/>
      </w:pPr>
      <w:bookmarkStart w:id="1" w:name="O_1132370"/>
      <w:bookmarkEnd w:id="1"/>
      <w:r w:rsidRPr="00252D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2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79" w:rsidP="00252D79">
            <w:pPr>
              <w:pStyle w:val="BodyText"/>
            </w:pPr>
            <w:r w:rsidRPr="00252D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79">
            <w:pPr>
              <w:pStyle w:val="BodyText"/>
              <w:rPr>
                <w:lang w:val="en-NZ"/>
              </w:rPr>
            </w:pPr>
            <w:r w:rsidRPr="00252D79">
              <w:rPr>
                <w:rStyle w:val="SpecialBold"/>
              </w:rPr>
              <w:t>Comments</w:t>
            </w:r>
          </w:p>
        </w:tc>
      </w:tr>
      <w:tr w:rsidTr="00252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79">
            <w:pPr>
              <w:pStyle w:val="BodyText"/>
              <w:rPr>
                <w:lang w:val="en-NZ"/>
              </w:rPr>
            </w:pPr>
            <w:r w:rsidRPr="00252D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79" w:rsidP="00252D79">
            <w:pPr>
              <w:pStyle w:val="BodyText"/>
            </w:pPr>
            <w:r w:rsidRPr="00252D79">
              <w:t>This version first released with FNS Financial Services Training Package Version 5.0.</w:t>
            </w:r>
          </w:p>
        </w:tc>
      </w:tr>
    </w:tbl>
    <w:p w:rsidR="00000000" w:rsidRPr="00252D79" w:rsidP="00252D79">
      <w:pPr>
        <w:pStyle w:val="BodyText"/>
      </w:pPr>
    </w:p>
    <w:p w:rsidR="00000000" w:rsidRPr="00252D79" w:rsidP="00252D79">
      <w:pPr>
        <w:pStyle w:val="AllowPageBreak"/>
      </w:pPr>
    </w:p>
    <w:p w:rsidR="00000000" w:rsidRPr="00252D79" w:rsidP="00252D79">
      <w:pPr>
        <w:pStyle w:val="Heading1"/>
      </w:pPr>
      <w:bookmarkStart w:id="2" w:name="O_1132373"/>
      <w:bookmarkEnd w:id="2"/>
      <w:r w:rsidRPr="00252D79">
        <w:t>Performance Evidence</w:t>
      </w:r>
    </w:p>
    <w:p w:rsidR="00000000" w:rsidRPr="00252D79" w:rsidP="006469C9">
      <w:pPr>
        <w:pStyle w:val="BodyText"/>
      </w:pPr>
      <w:r w:rsidRPr="00252D79">
        <w:t>The candidate must demonstrate the ability to complete the tasks outlined in the elements, performance criteria and foundation skills of this unit, including evidence of the ability to:</w:t>
      </w:r>
    </w:p>
    <w:p w:rsidR="00000000" w:rsidRPr="00252D79" w:rsidP="00252D79">
      <w:pPr>
        <w:pStyle w:val="ListBullet"/>
      </w:pPr>
      <w:r w:rsidRPr="00252D79">
        <w:t>prepare accurate and ethical advice on margin le</w:t>
      </w:r>
      <w:r w:rsidRPr="00252D79">
        <w:t>nding for financial plans for at least two different clients.</w:t>
      </w:r>
    </w:p>
    <w:p w:rsidR="00000000" w:rsidRPr="00252D79" w:rsidP="00252D79">
      <w:pPr>
        <w:pStyle w:val="List"/>
      </w:pPr>
    </w:p>
    <w:p w:rsidR="00000000" w:rsidRPr="00252D79" w:rsidP="006469C9">
      <w:pPr>
        <w:pStyle w:val="BodyText"/>
      </w:pPr>
      <w:r w:rsidRPr="00252D79">
        <w:t>In the course of the above, the candidate must:</w:t>
      </w:r>
    </w:p>
    <w:p w:rsidR="00000000" w:rsidRPr="00252D79" w:rsidP="00252D79">
      <w:pPr>
        <w:pStyle w:val="ListBullet"/>
      </w:pPr>
      <w:r w:rsidRPr="00252D79">
        <w:t>analyse client needs, financial situation and risk profile, and prepare appropriate strategies and solutions relating to margin lending</w:t>
      </w:r>
    </w:p>
    <w:p w:rsidR="00000000" w:rsidRPr="00252D79" w:rsidP="00252D79">
      <w:pPr>
        <w:pStyle w:val="ListBullet"/>
      </w:pPr>
      <w:r w:rsidRPr="00252D79">
        <w:t>d</w:t>
      </w:r>
      <w:r w:rsidRPr="00252D79">
        <w:t>ocument recommendations on margin lending products and services</w:t>
      </w:r>
    </w:p>
    <w:p w:rsidR="00000000" w:rsidRPr="00252D79" w:rsidP="00252D79">
      <w:pPr>
        <w:pStyle w:val="ListBullet"/>
      </w:pPr>
      <w:r w:rsidRPr="00252D79">
        <w:t>prepare policy or transaction once agreed by the client and complete documentation.</w:t>
      </w:r>
    </w:p>
    <w:p w:rsidR="00000000" w:rsidRPr="00252D79" w:rsidP="00252D79">
      <w:pPr>
        <w:pStyle w:val="AllowPageBreak"/>
      </w:pPr>
    </w:p>
    <w:p w:rsidR="00000000" w:rsidRPr="00252D79" w:rsidP="00252D79">
      <w:pPr>
        <w:pStyle w:val="Heading1"/>
      </w:pPr>
      <w:bookmarkStart w:id="3" w:name="O_1132372"/>
      <w:bookmarkEnd w:id="3"/>
      <w:r w:rsidRPr="00252D79">
        <w:t>Knowledge Evidence</w:t>
      </w:r>
    </w:p>
    <w:p w:rsidR="00000000" w:rsidRPr="00252D79" w:rsidP="006469C9">
      <w:pPr>
        <w:pStyle w:val="BodyText"/>
      </w:pPr>
      <w:r w:rsidRPr="00252D79">
        <w:t>The candidate must be able to demonstrate knowledge to complete the ta</w:t>
      </w:r>
      <w:r w:rsidRPr="00252D79">
        <w:t>sks outlined in the elements, performance criteria and foundation skills of this unit, including knowledge of:</w:t>
      </w:r>
    </w:p>
    <w:p w:rsidR="00000000" w:rsidRPr="00252D79" w:rsidP="006469C9">
      <w:pPr>
        <w:pStyle w:val="Heading3"/>
      </w:pPr>
      <w:r w:rsidRPr="00252D79">
        <w:rPr>
          <w:rStyle w:val="SpecialBold"/>
        </w:rPr>
        <w:t>Generic knowledge</w:t>
      </w:r>
    </w:p>
    <w:p w:rsidR="00000000" w:rsidRPr="00252D79" w:rsidP="00252D79">
      <w:pPr>
        <w:pStyle w:val="ListBullet"/>
      </w:pPr>
      <w:r w:rsidRPr="00252D79">
        <w:t>economic environment, including:</w:t>
      </w:r>
    </w:p>
    <w:p w:rsidR="00000000" w:rsidRPr="00252D79" w:rsidP="00252D79">
      <w:pPr>
        <w:pStyle w:val="ListBullet2"/>
      </w:pPr>
      <w:r w:rsidRPr="00252D79">
        <w:t>characteristics and impact of economic and business cycles</w:t>
      </w:r>
    </w:p>
    <w:p w:rsidR="00000000" w:rsidRPr="00252D79" w:rsidP="00252D79">
      <w:pPr>
        <w:pStyle w:val="ListBullet2"/>
      </w:pPr>
      <w:r w:rsidRPr="00252D79">
        <w:t>interest rates and exchange rates</w:t>
      </w:r>
    </w:p>
    <w:p w:rsidR="00000000" w:rsidRPr="00252D79" w:rsidP="00252D79">
      <w:pPr>
        <w:pStyle w:val="ListBullet2"/>
      </w:pPr>
      <w:r w:rsidRPr="00252D79">
        <w:t>inflation</w:t>
      </w:r>
    </w:p>
    <w:p w:rsidR="00000000" w:rsidRPr="00252D79" w:rsidP="00252D79">
      <w:pPr>
        <w:pStyle w:val="ListBullet2"/>
      </w:pPr>
      <w:r w:rsidRPr="00252D79">
        <w:t>government monetary and fiscal policy</w:t>
      </w:r>
    </w:p>
    <w:p w:rsidR="00000000" w:rsidRPr="00252D79" w:rsidP="00252D79">
      <w:pPr>
        <w:pStyle w:val="ListBullet"/>
      </w:pPr>
      <w:r w:rsidRPr="00252D79">
        <w:t>operation of financial markets, including:</w:t>
      </w:r>
    </w:p>
    <w:p w:rsidR="00000000" w:rsidRPr="00252D79" w:rsidP="00252D79">
      <w:pPr>
        <w:pStyle w:val="ListBullet2"/>
      </w:pPr>
      <w:r w:rsidRPr="00252D79">
        <w:t>roles played by intermediaries and issuers</w:t>
      </w:r>
    </w:p>
    <w:p w:rsidR="00000000" w:rsidRPr="00252D79" w:rsidP="00252D79">
      <w:pPr>
        <w:pStyle w:val="ListBullet2"/>
      </w:pPr>
      <w:r w:rsidRPr="00252D79">
        <w:t>structure and interrelationships within financial markets</w:t>
      </w:r>
    </w:p>
    <w:p w:rsidR="00000000" w:rsidRPr="00252D79" w:rsidP="00252D79">
      <w:pPr>
        <w:pStyle w:val="ListBullet2"/>
      </w:pPr>
      <w:r w:rsidRPr="00252D79">
        <w:t>interrelationship between industry sectors</w:t>
      </w:r>
    </w:p>
    <w:p w:rsidR="00000000" w:rsidRPr="00252D79" w:rsidP="00252D79">
      <w:pPr>
        <w:pStyle w:val="ListBullet"/>
      </w:pPr>
      <w:r w:rsidRPr="00252D79">
        <w:t>financial products, including:</w:t>
      </w:r>
    </w:p>
    <w:p w:rsidR="00000000" w:rsidRPr="00252D79" w:rsidP="00252D79">
      <w:pPr>
        <w:pStyle w:val="ListBullet2"/>
      </w:pPr>
      <w:r w:rsidRPr="00252D79">
        <w:t>concept of a financial product: general definition, and specific inclusions and exclusions</w:t>
      </w:r>
    </w:p>
    <w:p w:rsidR="00000000" w:rsidRPr="00252D79" w:rsidP="00252D79">
      <w:pPr>
        <w:pStyle w:val="ListBullet2"/>
      </w:pPr>
      <w:r w:rsidRPr="00252D79">
        <w:t>types of financial investment products</w:t>
      </w:r>
    </w:p>
    <w:p w:rsidR="00000000" w:rsidRPr="00252D79" w:rsidP="00252D79">
      <w:pPr>
        <w:pStyle w:val="ListBullet2"/>
      </w:pPr>
      <w:r w:rsidRPr="00252D79">
        <w:t>types of financial risk products</w:t>
      </w:r>
    </w:p>
    <w:p w:rsidR="00000000" w:rsidRPr="00252D79" w:rsidP="00252D79">
      <w:pPr>
        <w:pStyle w:val="ListBullet"/>
      </w:pPr>
      <w:r w:rsidRPr="00252D79">
        <w:t>aspects of ongoing service provision, including:</w:t>
      </w:r>
    </w:p>
    <w:p w:rsidR="00000000" w:rsidRPr="00252D79" w:rsidP="00252D79">
      <w:pPr>
        <w:pStyle w:val="ListBullet2"/>
      </w:pPr>
      <w:r w:rsidRPr="00252D79">
        <w:t xml:space="preserve">reporting </w:t>
      </w:r>
      <w:r w:rsidRPr="00252D79">
        <w:t>on performance</w:t>
      </w:r>
    </w:p>
    <w:p w:rsidR="00000000" w:rsidRPr="00252D79" w:rsidP="00252D79">
      <w:pPr>
        <w:pStyle w:val="ListBullet2"/>
      </w:pPr>
      <w:r w:rsidRPr="00252D79">
        <w:t>communicating comprehensively and clearly</w:t>
      </w:r>
    </w:p>
    <w:p w:rsidR="00000000" w:rsidRPr="00252D79" w:rsidP="00252D79">
      <w:pPr>
        <w:pStyle w:val="ListBullet2"/>
      </w:pPr>
      <w:r w:rsidRPr="00252D79">
        <w:t>reviewing of solution, plan, policy or transaction.</w:t>
      </w:r>
    </w:p>
    <w:p w:rsidR="00000000" w:rsidRPr="00252D79" w:rsidP="00252D79">
      <w:pPr>
        <w:pStyle w:val="List"/>
      </w:pPr>
    </w:p>
    <w:p w:rsidR="00000000" w:rsidRPr="00252D79" w:rsidP="006469C9">
      <w:pPr>
        <w:pStyle w:val="Heading3"/>
      </w:pPr>
      <w:r w:rsidRPr="00252D79">
        <w:rPr>
          <w:rStyle w:val="SpecialBold"/>
        </w:rPr>
        <w:t>Specialist knowledge</w:t>
      </w:r>
    </w:p>
    <w:p w:rsidR="00000000" w:rsidRPr="00252D79" w:rsidP="00252D79">
      <w:pPr>
        <w:pStyle w:val="ListBullet"/>
      </w:pPr>
      <w:r w:rsidRPr="00252D79">
        <w:t>legal environment, including disclosure and compliance covering:</w:t>
      </w:r>
    </w:p>
    <w:p w:rsidR="00000000" w:rsidRPr="00252D79" w:rsidP="00252D79">
      <w:pPr>
        <w:pStyle w:val="ListBullet2"/>
      </w:pPr>
      <w:r w:rsidRPr="00252D79">
        <w:t>role of the authorised representative or adviser</w:t>
      </w:r>
    </w:p>
    <w:p w:rsidR="00000000" w:rsidRPr="00252D79" w:rsidP="00252D79">
      <w:pPr>
        <w:pStyle w:val="ListBullet2"/>
      </w:pPr>
      <w:r w:rsidRPr="00252D79">
        <w:t>relevant legal principles relating to the Corporations Act, Australian Securities and Investments Commission (ASIC) Act, Privacy Amendment (Private Sector) Act, and Competition and Consumer Act</w:t>
      </w:r>
    </w:p>
    <w:p w:rsidR="00000000" w:rsidRPr="00252D79" w:rsidP="00252D79">
      <w:pPr>
        <w:pStyle w:val="ListBullet2"/>
      </w:pPr>
      <w:r w:rsidRPr="00252D79">
        <w:t>relationship between ethics and regulatory requirements, inclu</w:t>
      </w:r>
      <w:r w:rsidRPr="00252D79">
        <w:t>ding good faith, faith, utmost good faith, full disclosure of remuneration and fees, and other conflicts of interest that may influence authorised representative’s recommendation</w:t>
      </w:r>
    </w:p>
    <w:p w:rsidR="00000000" w:rsidRPr="00252D79" w:rsidP="00252D79">
      <w:pPr>
        <w:pStyle w:val="ListBullet2"/>
      </w:pPr>
      <w:r w:rsidRPr="00252D79">
        <w:t>relevant industry standards and codes of practice</w:t>
      </w:r>
    </w:p>
    <w:p w:rsidR="00000000" w:rsidRPr="00252D79" w:rsidP="00252D79">
      <w:pPr>
        <w:pStyle w:val="ListBullet2"/>
      </w:pPr>
      <w:r w:rsidRPr="00252D79">
        <w:t>regulatory guidelines</w:t>
      </w:r>
    </w:p>
    <w:p w:rsidR="00000000" w:rsidRPr="00252D79" w:rsidP="00252D79">
      <w:pPr>
        <w:pStyle w:val="ListBullet2"/>
      </w:pPr>
      <w:r w:rsidRPr="00252D79">
        <w:t>inter</w:t>
      </w:r>
      <w:r w:rsidRPr="00252D79">
        <w:t>nal and external complaints resolution procedures</w:t>
      </w:r>
    </w:p>
    <w:p w:rsidR="00000000" w:rsidRPr="00252D79" w:rsidP="00252D79">
      <w:pPr>
        <w:pStyle w:val="ListBullet"/>
      </w:pPr>
      <w:r w:rsidRPr="00252D79">
        <w:t>characteristics of margin lending products, including:</w:t>
      </w:r>
    </w:p>
    <w:p w:rsidR="00000000" w:rsidRPr="00252D79" w:rsidP="00252D79">
      <w:pPr>
        <w:pStyle w:val="ListBullet2"/>
      </w:pPr>
      <w:r w:rsidRPr="00252D79">
        <w:t>various types of margin lending facility products and their operation, including standard margin lending facilities and non-standard margin lending f</w:t>
      </w:r>
      <w:r w:rsidRPr="00252D79">
        <w:t>acilities</w:t>
      </w:r>
    </w:p>
    <w:p w:rsidR="00000000" w:rsidRPr="00252D79" w:rsidP="00252D79">
      <w:pPr>
        <w:pStyle w:val="ListBullet2"/>
      </w:pPr>
      <w:r w:rsidRPr="00252D79">
        <w:t>associated risks and alternative products, including derivatives where relevant</w:t>
      </w:r>
    </w:p>
    <w:p w:rsidR="00000000" w:rsidRPr="00252D79" w:rsidP="00252D79">
      <w:pPr>
        <w:pStyle w:val="ListBullet2"/>
      </w:pPr>
      <w:r w:rsidRPr="00252D79">
        <w:t>provider and client rights and responsibilities</w:t>
      </w:r>
    </w:p>
    <w:p w:rsidR="00000000" w:rsidRPr="00252D79" w:rsidP="00252D79">
      <w:pPr>
        <w:pStyle w:val="ListBullet2"/>
      </w:pPr>
      <w:r w:rsidRPr="00252D79">
        <w:t>effect of provider taking security over client assets</w:t>
      </w:r>
    </w:p>
    <w:p w:rsidR="00000000" w:rsidRPr="00252D79" w:rsidP="00252D79">
      <w:pPr>
        <w:pStyle w:val="ListBullet2"/>
      </w:pPr>
      <w:r w:rsidRPr="00252D79">
        <w:t>effect of provider receiving a transfer of client assets</w:t>
      </w:r>
    </w:p>
    <w:p w:rsidR="00000000" w:rsidRPr="00252D79" w:rsidP="00252D79">
      <w:pPr>
        <w:pStyle w:val="ListBullet2"/>
      </w:pPr>
      <w:r w:rsidRPr="00252D79">
        <w:t>calculating loan-to-value ratios of both individual products and the overall portfolio</w:t>
      </w:r>
    </w:p>
    <w:p w:rsidR="00000000" w:rsidRPr="00252D79" w:rsidP="00252D79">
      <w:pPr>
        <w:pStyle w:val="ListBullet2"/>
      </w:pPr>
      <w:r w:rsidRPr="00252D79">
        <w:t>consequences of issuers altering the loan-to-value ratio of individual products</w:t>
      </w:r>
    </w:p>
    <w:p w:rsidR="00000000" w:rsidRPr="00252D79" w:rsidP="00252D79">
      <w:pPr>
        <w:pStyle w:val="ListBullet2"/>
      </w:pPr>
      <w:r w:rsidRPr="00252D79">
        <w:t>margin calls: ways of making a margin call, consequences of margin calls and how they may</w:t>
      </w:r>
      <w:r w:rsidRPr="00252D79">
        <w:t xml:space="preserve"> be resolved, and strategies by which the borrower may avoid margin calls</w:t>
      </w:r>
    </w:p>
    <w:p w:rsidR="00000000" w:rsidRPr="00252D79" w:rsidP="00252D79">
      <w:pPr>
        <w:pStyle w:val="ListBullet2"/>
      </w:pPr>
      <w:r w:rsidRPr="00252D79">
        <w:t>approved product list: consequences of removing a product from the approved products list</w:t>
      </w:r>
    </w:p>
    <w:p w:rsidR="00000000" w:rsidRPr="00252D79" w:rsidP="00252D79">
      <w:pPr>
        <w:pStyle w:val="ListBullet"/>
      </w:pPr>
      <w:r w:rsidRPr="00252D79">
        <w:t>taxation issues in relation to margin lending facilities, including:</w:t>
      </w:r>
    </w:p>
    <w:p w:rsidR="00000000" w:rsidRPr="00252D79" w:rsidP="00252D79">
      <w:pPr>
        <w:pStyle w:val="ListBullet2"/>
      </w:pPr>
      <w:r w:rsidRPr="00252D79">
        <w:t>deductibility of cost</w:t>
      </w:r>
      <w:r w:rsidRPr="00252D79">
        <w:t>s associated with margin lending, including interest payments</w:t>
      </w:r>
    </w:p>
    <w:p w:rsidR="00000000" w:rsidRPr="00252D79" w:rsidP="00252D79">
      <w:pPr>
        <w:pStyle w:val="ListBullet2"/>
      </w:pPr>
      <w:r w:rsidRPr="00252D79">
        <w:t>liability for capital gains tax (CGT)</w:t>
      </w:r>
    </w:p>
    <w:p w:rsidR="00000000" w:rsidRPr="00252D79" w:rsidP="00252D79">
      <w:pPr>
        <w:pStyle w:val="ListBullet"/>
      </w:pPr>
      <w:r w:rsidRPr="00252D79">
        <w:t>theories of investment, portfolio management and management of investment and risk, including:</w:t>
      </w:r>
    </w:p>
    <w:p w:rsidR="00000000" w:rsidRPr="00252D79" w:rsidP="00252D79">
      <w:pPr>
        <w:pStyle w:val="ListBullet2"/>
      </w:pPr>
      <w:r w:rsidRPr="00252D79">
        <w:t>investment concepts</w:t>
      </w:r>
    </w:p>
    <w:p w:rsidR="00000000" w:rsidRPr="00252D79" w:rsidP="00252D79">
      <w:pPr>
        <w:pStyle w:val="ListBullet2"/>
      </w:pPr>
      <w:r w:rsidRPr="00252D79">
        <w:t>investment strategies for margin lendin</w:t>
      </w:r>
      <w:r w:rsidRPr="00252D79">
        <w:t>g, including role of cash flow and alternative investment strategies</w:t>
      </w:r>
    </w:p>
    <w:p w:rsidR="00000000" w:rsidRPr="00252D79" w:rsidP="00252D79">
      <w:pPr>
        <w:pStyle w:val="ListBullet2"/>
      </w:pPr>
      <w:r w:rsidRPr="00252D79">
        <w:t>investment options using a margin lending facility</w:t>
      </w:r>
    </w:p>
    <w:p w:rsidR="00000000" w:rsidRPr="00252D79" w:rsidP="00252D79">
      <w:pPr>
        <w:pStyle w:val="ListBullet2"/>
      </w:pPr>
      <w:r w:rsidRPr="00252D79">
        <w:t>identification of types of risk, including sensitivity of margin lending strategies to changes in interest rates and investment returns</w:t>
      </w:r>
    </w:p>
    <w:p w:rsidR="00000000" w:rsidRPr="00252D79" w:rsidP="00252D79">
      <w:pPr>
        <w:pStyle w:val="ListBullet2"/>
      </w:pPr>
      <w:r w:rsidRPr="00252D79">
        <w:t>client risk profile, including source and stability of clients’ income source, the source of funding for the investment and risk profiles unsuited to margin lending facility products</w:t>
      </w:r>
    </w:p>
    <w:p w:rsidR="00000000" w:rsidRPr="00252D79" w:rsidP="00252D79">
      <w:pPr>
        <w:pStyle w:val="ListBullet2"/>
      </w:pPr>
      <w:r w:rsidRPr="00252D79">
        <w:t>stress testing of proposed client portfolio</w:t>
      </w:r>
    </w:p>
    <w:p w:rsidR="00000000" w:rsidRPr="00252D79" w:rsidP="00252D79">
      <w:pPr>
        <w:pStyle w:val="ListBullet2"/>
      </w:pPr>
      <w:r w:rsidRPr="00252D79">
        <w:t>risks associated with gearing, including relationship between levels of gearing and risks, and risks associated with double gearing.</w:t>
      </w:r>
    </w:p>
    <w:p w:rsidR="00000000" w:rsidRPr="00252D79" w:rsidP="00252D79">
      <w:pPr>
        <w:pStyle w:val="AllowPageBreak"/>
      </w:pPr>
    </w:p>
    <w:p w:rsidR="00000000" w:rsidRPr="00252D79" w:rsidP="00252D79">
      <w:pPr>
        <w:pStyle w:val="Heading1"/>
      </w:pPr>
      <w:bookmarkStart w:id="4" w:name="O_1132371"/>
      <w:bookmarkEnd w:id="4"/>
      <w:r w:rsidRPr="00252D79">
        <w:t>Assessment Conditions</w:t>
      </w:r>
    </w:p>
    <w:p w:rsidR="00000000" w:rsidRPr="00252D79" w:rsidP="006469C9">
      <w:pPr>
        <w:pStyle w:val="BodyText"/>
      </w:pPr>
      <w:r w:rsidRPr="00252D79">
        <w:t>Skills in this unit must be demonstrated in a workplace or simulated environment w</w:t>
      </w:r>
      <w:r w:rsidRPr="00252D79">
        <w:t>here the conditions are typical of those in a working environment in this industry.</w:t>
      </w:r>
    </w:p>
    <w:p w:rsidR="00000000" w:rsidRPr="00252D79" w:rsidP="006469C9">
      <w:pPr>
        <w:pStyle w:val="BodyText"/>
      </w:pPr>
      <w:r w:rsidRPr="00252D79">
        <w:t>This includes access to:</w:t>
      </w:r>
    </w:p>
    <w:p w:rsidR="00000000" w:rsidRPr="00252D79" w:rsidP="00252D79">
      <w:pPr>
        <w:pStyle w:val="ListBullet"/>
      </w:pPr>
      <w:r w:rsidRPr="00252D79">
        <w:t>organisational equipment, technology, software and peripherals</w:t>
      </w:r>
    </w:p>
    <w:p w:rsidR="00000000" w:rsidRPr="00252D79" w:rsidP="00252D79">
      <w:pPr>
        <w:pStyle w:val="ListBullet"/>
      </w:pPr>
      <w:r w:rsidRPr="00252D79">
        <w:t>margin lending product information.</w:t>
      </w:r>
    </w:p>
    <w:p w:rsidR="00000000" w:rsidRPr="00252D79" w:rsidP="00252D79">
      <w:pPr>
        <w:pStyle w:val="List"/>
      </w:pPr>
    </w:p>
    <w:p w:rsidR="00000000" w:rsidRPr="00252D79" w:rsidP="006469C9">
      <w:pPr>
        <w:pStyle w:val="BodyText"/>
      </w:pPr>
      <w:r w:rsidRPr="00252D79">
        <w:t>Assessors of this unit must satisfy the requir</w:t>
      </w:r>
      <w:r w:rsidRPr="00252D79">
        <w:t>ements for assessors in applicable vocational education and training legislation, frameworks and/or standards.</w:t>
      </w:r>
    </w:p>
    <w:p w:rsidR="00000000" w:rsidRPr="00252D79" w:rsidP="00252D79">
      <w:pPr>
        <w:pStyle w:val="Heading1"/>
      </w:pPr>
      <w:bookmarkStart w:id="5" w:name="O_1132369"/>
      <w:bookmarkEnd w:id="5"/>
      <w:r w:rsidRPr="00252D79">
        <w:t>Links</w:t>
      </w:r>
    </w:p>
    <w:p w:rsidR="00000000" w:rsidRPr="00252D79" w:rsidP="006469C9">
      <w:pPr>
        <w:pStyle w:val="BodyText"/>
      </w:pPr>
      <w:r w:rsidRPr="00252D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49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52D79" w:rsidP="00252D79"/>
    <w:sectPr w:rsidSect="00252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79" w:rsidRPr="006469C9" w:rsidP="00646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C9" w:rsidP="00252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9C9" w:rsidP="00252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69C9" w:rsidP="00252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D79" w:rsidRPr="006469C9" w:rsidP="00646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C9" w:rsidRPr="002D2AF8" w:rsidP="00252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FNSFPL607 Prepare advice in margin lending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469C9" w:rsidP="00252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89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D4A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00D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D79"/>
  </w:style>
  <w:style w:type="character" w:customStyle="1" w:styleId="Heading1Char">
    <w:name w:val="Heading 1 Char"/>
    <w:basedOn w:val="DefaultParagraphFont"/>
    <w:link w:val="Heading1"/>
    <w:rsid w:val="00252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D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2D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D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D79"/>
    <w:rPr>
      <w:b/>
      <w:spacing w:val="0"/>
    </w:rPr>
  </w:style>
  <w:style w:type="paragraph" w:styleId="ListBullet2">
    <w:name w:val="List Bullet 2"/>
    <w:basedOn w:val="List2"/>
    <w:rsid w:val="00252D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2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D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2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2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D79"/>
    <w:rPr>
      <w:i/>
    </w:rPr>
  </w:style>
  <w:style w:type="paragraph" w:styleId="Caption">
    <w:name w:val="caption"/>
    <w:basedOn w:val="BodyText"/>
    <w:next w:val="Normal"/>
    <w:qFormat/>
    <w:rsid w:val="00252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D79"/>
  </w:style>
  <w:style w:type="paragraph" w:styleId="TableofFigures">
    <w:name w:val="table of figures"/>
    <w:basedOn w:val="Normal"/>
    <w:next w:val="Normal"/>
    <w:semiHidden/>
    <w:rsid w:val="00252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2D79"/>
    <w:rPr>
      <w:rFonts w:ascii="Wingdings" w:hAnsi="Wingdings"/>
    </w:rPr>
  </w:style>
  <w:style w:type="paragraph" w:customStyle="1" w:styleId="TableHeading">
    <w:name w:val="Table Heading"/>
    <w:basedOn w:val="HeadingBase"/>
    <w:rsid w:val="00252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D79"/>
    <w:rPr>
      <w:color w:val="0033CC"/>
      <w:u w:val="none"/>
    </w:rPr>
  </w:style>
  <w:style w:type="paragraph" w:customStyle="1" w:styleId="BodyTextRight">
    <w:name w:val="Body Text Right"/>
    <w:basedOn w:val="BodyText"/>
    <w:rsid w:val="00252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D79"/>
    <w:rPr>
      <w:sz w:val="32"/>
    </w:rPr>
  </w:style>
  <w:style w:type="paragraph" w:customStyle="1" w:styleId="HeadingProcedure">
    <w:name w:val="Heading Procedure"/>
    <w:basedOn w:val="HeadingBase"/>
    <w:next w:val="Normal"/>
    <w:rsid w:val="00252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D79"/>
    <w:pPr>
      <w:spacing w:before="60" w:after="60"/>
    </w:pPr>
  </w:style>
  <w:style w:type="paragraph" w:styleId="ListContinue">
    <w:name w:val="List Continue"/>
    <w:basedOn w:val="List"/>
    <w:rsid w:val="00252D79"/>
    <w:pPr>
      <w:ind w:firstLine="0"/>
    </w:pPr>
  </w:style>
  <w:style w:type="paragraph" w:customStyle="1" w:styleId="ListNote">
    <w:name w:val="List Note"/>
    <w:basedOn w:val="List"/>
    <w:rsid w:val="00252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D79"/>
    <w:rPr>
      <w:rFonts w:ascii="Courier New" w:hAnsi="Courier New"/>
    </w:rPr>
  </w:style>
  <w:style w:type="paragraph" w:customStyle="1" w:styleId="NoteBullet">
    <w:name w:val="Note Bullet"/>
    <w:basedOn w:val="Note"/>
    <w:rsid w:val="00252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2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D79"/>
    <w:rPr>
      <w:b/>
      <w:smallCaps/>
    </w:rPr>
  </w:style>
  <w:style w:type="paragraph" w:customStyle="1" w:styleId="TableListNumber">
    <w:name w:val="Table List Number"/>
    <w:basedOn w:val="ListNumber"/>
    <w:rsid w:val="00252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D79"/>
    <w:pPr>
      <w:numPr>
        <w:numId w:val="9"/>
      </w:numPr>
    </w:pPr>
  </w:style>
  <w:style w:type="paragraph" w:customStyle="1" w:styleId="ListAlpha2">
    <w:name w:val="List Alpha 2"/>
    <w:basedOn w:val="List2"/>
    <w:rsid w:val="00252D79"/>
    <w:pPr>
      <w:numPr>
        <w:numId w:val="8"/>
      </w:numPr>
    </w:pPr>
  </w:style>
  <w:style w:type="paragraph" w:styleId="List2">
    <w:name w:val="List 2"/>
    <w:basedOn w:val="BodyText"/>
    <w:rsid w:val="00252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2D79"/>
    <w:pPr>
      <w:numPr>
        <w:numId w:val="4"/>
      </w:numPr>
    </w:pPr>
  </w:style>
  <w:style w:type="paragraph" w:styleId="ListContinue2">
    <w:name w:val="List Continue 2"/>
    <w:basedOn w:val="List2"/>
    <w:rsid w:val="00252D79"/>
    <w:pPr>
      <w:ind w:firstLine="0"/>
    </w:pPr>
  </w:style>
  <w:style w:type="paragraph" w:styleId="ListContinue3">
    <w:name w:val="List Continue 3"/>
    <w:basedOn w:val="List3"/>
    <w:rsid w:val="00252D79"/>
    <w:pPr>
      <w:ind w:left="1021" w:firstLine="0"/>
    </w:pPr>
  </w:style>
  <w:style w:type="paragraph" w:styleId="ListContinue4">
    <w:name w:val="List Continue 4"/>
    <w:basedOn w:val="List4"/>
    <w:rsid w:val="00252D79"/>
    <w:pPr>
      <w:ind w:firstLine="0"/>
    </w:pPr>
  </w:style>
  <w:style w:type="paragraph" w:styleId="ListContinue5">
    <w:name w:val="List Continue 5"/>
    <w:basedOn w:val="List5"/>
    <w:rsid w:val="00252D79"/>
    <w:pPr>
      <w:ind w:firstLine="0"/>
    </w:pPr>
  </w:style>
  <w:style w:type="paragraph" w:styleId="ListNumber3">
    <w:name w:val="List Number 3"/>
    <w:basedOn w:val="List3"/>
    <w:rsid w:val="00252D79"/>
    <w:pPr>
      <w:numPr>
        <w:numId w:val="5"/>
      </w:numPr>
    </w:pPr>
  </w:style>
  <w:style w:type="paragraph" w:styleId="ListNumber4">
    <w:name w:val="List Number 4"/>
    <w:basedOn w:val="List4"/>
    <w:rsid w:val="00252D79"/>
    <w:pPr>
      <w:numPr>
        <w:numId w:val="6"/>
      </w:numPr>
    </w:pPr>
  </w:style>
  <w:style w:type="paragraph" w:styleId="ListNumber5">
    <w:name w:val="List Number 5"/>
    <w:basedOn w:val="List5"/>
    <w:rsid w:val="00252D79"/>
    <w:pPr>
      <w:numPr>
        <w:numId w:val="7"/>
      </w:numPr>
    </w:pPr>
  </w:style>
  <w:style w:type="paragraph" w:styleId="BlockText">
    <w:name w:val="Block Text"/>
    <w:basedOn w:val="Normal"/>
    <w:rsid w:val="00252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D79"/>
    <w:rPr>
      <w:sz w:val="16"/>
      <w:vertAlign w:val="superscript"/>
    </w:rPr>
  </w:style>
  <w:style w:type="character" w:customStyle="1" w:styleId="Symbols">
    <w:name w:val="Symbols"/>
    <w:basedOn w:val="DefaultParagraphFont"/>
    <w:rsid w:val="00252D79"/>
    <w:rPr>
      <w:rFonts w:ascii="Symbol" w:hAnsi="Symbol"/>
    </w:rPr>
  </w:style>
  <w:style w:type="character" w:customStyle="1" w:styleId="MenuOptions">
    <w:name w:val="Menu Options"/>
    <w:basedOn w:val="DefaultParagraphFont"/>
    <w:rsid w:val="00252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D79"/>
    <w:rPr>
      <w:b/>
    </w:rPr>
  </w:style>
  <w:style w:type="character" w:customStyle="1" w:styleId="Underlined">
    <w:name w:val="Underlined"/>
    <w:basedOn w:val="DefaultParagraphFont"/>
    <w:rsid w:val="00252D79"/>
    <w:rPr>
      <w:u w:val="single"/>
    </w:rPr>
  </w:style>
  <w:style w:type="paragraph" w:customStyle="1" w:styleId="TableBodyTextRight">
    <w:name w:val="Table Body Text Right"/>
    <w:basedOn w:val="TableBodyText"/>
    <w:rsid w:val="00252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D79"/>
    <w:rPr>
      <w:sz w:val="18"/>
    </w:rPr>
  </w:style>
  <w:style w:type="paragraph" w:customStyle="1" w:styleId="BodySmallRight">
    <w:name w:val="Body Small Right"/>
    <w:basedOn w:val="BodyTextRight"/>
    <w:rsid w:val="00252D79"/>
    <w:rPr>
      <w:sz w:val="18"/>
      <w:szCs w:val="18"/>
    </w:rPr>
  </w:style>
  <w:style w:type="paragraph" w:customStyle="1" w:styleId="MarginEdition">
    <w:name w:val="Margin Edition"/>
    <w:basedOn w:val="MarginNote"/>
    <w:rsid w:val="00252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D79"/>
    <w:rPr>
      <w:sz w:val="2"/>
      <w:szCs w:val="2"/>
    </w:rPr>
  </w:style>
  <w:style w:type="character" w:customStyle="1" w:styleId="Small">
    <w:name w:val="Small"/>
    <w:basedOn w:val="DefaultParagraphFont"/>
    <w:rsid w:val="00252D79"/>
    <w:rPr>
      <w:sz w:val="16"/>
    </w:rPr>
  </w:style>
  <w:style w:type="paragraph" w:customStyle="1" w:styleId="WideTable">
    <w:name w:val="Wide Table"/>
    <w:basedOn w:val="Normal"/>
    <w:rsid w:val="00252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D79"/>
  </w:style>
  <w:style w:type="paragraph" w:styleId="Quote">
    <w:name w:val="Quote"/>
    <w:basedOn w:val="Heading1"/>
    <w:link w:val="QuoteChar"/>
    <w:qFormat/>
    <w:rsid w:val="00252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D79"/>
    <w:pPr>
      <w:pageBreakBefore/>
    </w:pPr>
  </w:style>
  <w:style w:type="paragraph" w:customStyle="1" w:styleId="Border">
    <w:name w:val="Border"/>
    <w:basedOn w:val="Normal"/>
    <w:qFormat/>
    <w:rsid w:val="00252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D79"/>
    <w:rPr>
      <w:u w:val="single"/>
    </w:rPr>
  </w:style>
  <w:style w:type="character" w:customStyle="1" w:styleId="BoldandItalics">
    <w:name w:val="Bold and Italics"/>
    <w:qFormat/>
    <w:rsid w:val="00252D79"/>
    <w:rPr>
      <w:b/>
      <w:i/>
      <w:u w:val="none"/>
    </w:rPr>
  </w:style>
  <w:style w:type="paragraph" w:styleId="BalloonText">
    <w:name w:val="Balloon Text"/>
    <w:basedOn w:val="Normal"/>
    <w:link w:val="BalloonTextChar"/>
    <w:rsid w:val="00252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D79"/>
    <w:pPr>
      <w:spacing w:before="0" w:after="0"/>
    </w:pPr>
  </w:style>
  <w:style w:type="paragraph" w:customStyle="1" w:styleId="BodyTextBold">
    <w:name w:val="Body Text Bold"/>
    <w:basedOn w:val="BodyText"/>
    <w:qFormat/>
    <w:rsid w:val="00252D79"/>
    <w:rPr>
      <w:b/>
    </w:rPr>
  </w:style>
  <w:style w:type="character" w:styleId="Hyperlink">
    <w:name w:val="Hyperlink"/>
    <w:basedOn w:val="DefaultParagraphFont"/>
    <w:uiPriority w:val="99"/>
    <w:unhideWhenUsed/>
    <w:rsid w:val="00646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4530</Characters>
  <Application>Microsoft Office Word</Application>
  <DocSecurity>0</DocSecurity>
  <Lines>107</Lines>
  <Paragraphs>83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FNSFPL607 Prepare advice in margin lending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