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10D" w:rsidP="00D56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FNSFMK612 Manage trading exposures</w:t>
      </w:r>
      <w:r>
        <w:fldChar w:fldCharType="end"/>
      </w:r>
    </w:p>
    <w:p w:rsidR="00D5610D" w:rsidP="00D5610D">
      <w:pPr>
        <w:pStyle w:val="Version"/>
        <w:sectPr w:rsidSect="000C0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523" w:rsidP="000C0523">
      <w:pPr>
        <w:pStyle w:val="SuperHeading"/>
      </w:pPr>
      <w:r w:rsidRPr="000C0523">
        <w:t>FNSFMK612 Manage trading exposures</w:t>
      </w:r>
    </w:p>
    <w:p w:rsidR="00000000" w:rsidRPr="000C0523" w:rsidP="000C0523">
      <w:pPr>
        <w:pStyle w:val="Heading1"/>
      </w:pPr>
      <w:bookmarkStart w:id="1" w:name="O_1075055"/>
      <w:bookmarkEnd w:id="1"/>
      <w:r w:rsidRPr="000C05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0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BodyText"/>
            </w:pPr>
            <w:r w:rsidRPr="000C05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rPr>
                <w:rStyle w:val="SpecialBold"/>
              </w:rPr>
              <w:t>Comments</w:t>
            </w:r>
          </w:p>
        </w:tc>
      </w:tr>
      <w:tr w:rsidTr="000C0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BodyText"/>
            </w:pPr>
            <w:r w:rsidRPr="000C0523">
              <w:t>This version first released with FNS Financial Services Training Package Version 4.0.</w:t>
            </w:r>
          </w:p>
        </w:tc>
      </w:tr>
    </w:tbl>
    <w:p w:rsidR="00000000" w:rsidRPr="000C0523" w:rsidP="000C0523">
      <w:pPr>
        <w:pStyle w:val="BodyText"/>
      </w:pPr>
    </w:p>
    <w:p w:rsidR="00000000" w:rsidRPr="000C0523" w:rsidP="000C0523">
      <w:pPr>
        <w:pStyle w:val="AllowPageBreak"/>
      </w:pPr>
    </w:p>
    <w:p w:rsidR="00000000" w:rsidRPr="000C0523" w:rsidP="000C0523">
      <w:pPr>
        <w:pStyle w:val="Heading1"/>
      </w:pPr>
      <w:bookmarkStart w:id="2" w:name="O_1075060"/>
      <w:bookmarkEnd w:id="2"/>
      <w:r w:rsidRPr="000C0523">
        <w:t>Application</w:t>
      </w:r>
    </w:p>
    <w:p w:rsidR="00000000" w:rsidRPr="000C0523" w:rsidP="00D5610D">
      <w:pPr>
        <w:pStyle w:val="BodyText"/>
      </w:pPr>
      <w:r w:rsidRPr="000C0523">
        <w:t xml:space="preserve">This unit covers the skills and knowledge required to manage financial risk, arising as </w:t>
      </w:r>
      <w:r w:rsidRPr="000C0523">
        <w:t>a result of client transactions. It involves assessing existing exposures and risk appetite and then developing strategies to minimise, prevent and mitigate financial risk.</w:t>
      </w:r>
    </w:p>
    <w:p w:rsidR="00000000" w:rsidRPr="000C0523" w:rsidP="00D5610D">
      <w:pPr>
        <w:pStyle w:val="BodyText"/>
      </w:pPr>
      <w:r w:rsidRPr="000C0523">
        <w:t>The unit applies to individuals who use analytical skills and systematic approaches</w:t>
      </w:r>
      <w:r w:rsidRPr="000C0523">
        <w:t xml:space="preserve"> to assess, review and manage trading exposures.</w:t>
      </w:r>
    </w:p>
    <w:p w:rsidR="00000000" w:rsidRPr="000C0523" w:rsidP="00D5610D">
      <w:pPr>
        <w:pStyle w:val="BodyText"/>
      </w:pPr>
      <w:r w:rsidRPr="000C0523">
        <w:t>No licensing, legislative or certification requirements apply to this unit at the time of publication.</w:t>
      </w:r>
    </w:p>
    <w:p w:rsidR="00000000" w:rsidRPr="000C0523" w:rsidP="000C0523">
      <w:pPr>
        <w:pStyle w:val="Heading1"/>
      </w:pPr>
      <w:bookmarkStart w:id="3" w:name="O_1075059"/>
      <w:bookmarkEnd w:id="3"/>
      <w:r w:rsidRPr="000C0523">
        <w:t>Unit Sector</w:t>
      </w:r>
    </w:p>
    <w:p w:rsidR="00000000" w:rsidRPr="000C0523" w:rsidP="00D5610D">
      <w:pPr>
        <w:pStyle w:val="BodyText"/>
      </w:pPr>
      <w:r w:rsidRPr="000C0523">
        <w:t>Financial markets</w:t>
      </w:r>
    </w:p>
    <w:p w:rsidR="00000000" w:rsidRPr="000C0523" w:rsidP="000C0523">
      <w:pPr>
        <w:pStyle w:val="Heading1"/>
      </w:pPr>
      <w:bookmarkStart w:id="4" w:name="O_1075058"/>
      <w:bookmarkEnd w:id="4"/>
      <w:r w:rsidRPr="000C0523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BodyText"/>
            </w:pPr>
            <w:r w:rsidRPr="000C0523">
              <w:rPr>
                <w:rStyle w:val="SpecialBold"/>
              </w:rPr>
              <w:t>EL</w:t>
            </w:r>
            <w:r w:rsidRPr="000C0523">
              <w:rPr>
                <w:rStyle w:val="SpecialBold"/>
              </w:rPr>
              <w:t>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rPr>
                <w:rStyle w:val="SpecialBold"/>
              </w:rPr>
              <w:t>PERFORMANCE CRITERIA</w:t>
            </w:r>
          </w:p>
        </w:tc>
      </w:tr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BodyText"/>
            </w:pPr>
            <w:r w:rsidRPr="000C0523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List"/>
              <w:rPr>
                <w:lang w:val="en-NZ"/>
              </w:rPr>
            </w:pPr>
            <w:r w:rsidRPr="000C0523">
              <w:t>1. Assess risk and determine need for hedging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List"/>
            </w:pPr>
            <w:r w:rsidRPr="000C0523">
              <w:t>1.1 Review existing trading portfolio and risk appetite to determine if hedging is required</w:t>
            </w:r>
          </w:p>
          <w:p w:rsidR="00000000" w:rsidP="000C0523">
            <w:pPr>
              <w:pStyle w:val="List"/>
              <w:rPr>
                <w:lang w:val="en-NZ"/>
              </w:rPr>
            </w:pPr>
            <w:r w:rsidRPr="000C0523">
              <w:t>1.2 Assess risks of various underlying hedge transactions including outright risk and basis risk</w:t>
            </w:r>
          </w:p>
        </w:tc>
      </w:tr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List"/>
              <w:rPr>
                <w:lang w:val="en-NZ"/>
              </w:rPr>
            </w:pPr>
            <w:r w:rsidRPr="000C0523">
              <w:t>2. Develop and execute hedging strategies to mitigate risk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List"/>
            </w:pPr>
            <w:r w:rsidRPr="000C0523">
              <w:t>2.1 Formulate appropriate hedging strategy to mitigate risk, in line with market conditions and organisational hedging policies</w:t>
            </w:r>
          </w:p>
          <w:p w:rsidR="00000000" w:rsidRPr="000C0523" w:rsidP="000C0523">
            <w:pPr>
              <w:pStyle w:val="List"/>
            </w:pPr>
            <w:r w:rsidRPr="000C0523">
              <w:t>2.2 Confirm hedge is within own authority to transact and within own existing market risk limit structure as a market maker</w:t>
            </w:r>
          </w:p>
          <w:p w:rsidR="00000000" w:rsidRPr="000C0523" w:rsidP="000C0523">
            <w:pPr>
              <w:pStyle w:val="List"/>
            </w:pPr>
            <w:r w:rsidRPr="000C0523">
              <w:t xml:space="preserve">2.3 </w:t>
            </w:r>
            <w:r w:rsidRPr="000C0523">
              <w:t>Determine most appropriate venue for executing hedge transaction</w:t>
            </w:r>
          </w:p>
          <w:p w:rsidR="00000000" w:rsidRPr="000C0523" w:rsidP="000C0523">
            <w:pPr>
              <w:pStyle w:val="List"/>
            </w:pPr>
            <w:r w:rsidRPr="000C0523">
              <w:t xml:space="preserve">2.4 Execute hedging strategy in accordance with organisational, </w:t>
            </w:r>
            <w:r w:rsidRPr="000C0523">
              <w:t xml:space="preserve">industry standards and regulatory requirements. </w:t>
            </w:r>
          </w:p>
          <w:p w:rsidR="00000000" w:rsidP="000C0523">
            <w:pPr>
              <w:pStyle w:val="List"/>
              <w:rPr>
                <w:lang w:val="en-NZ"/>
              </w:rPr>
            </w:pPr>
            <w:r w:rsidRPr="000C0523">
              <w:t>2.5 Identify and report trading breaches in compliance to organisational proce</w:t>
            </w:r>
            <w:r w:rsidRPr="000C0523">
              <w:t xml:space="preserve">sses  </w:t>
            </w:r>
          </w:p>
        </w:tc>
      </w:tr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List"/>
              <w:rPr>
                <w:lang w:val="en-NZ"/>
              </w:rPr>
            </w:pPr>
            <w:r w:rsidRPr="000C0523">
              <w:t>3. Review adjusted risk position and develop strategies to minimise risks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List"/>
            </w:pPr>
            <w:r w:rsidRPr="000C0523">
              <w:t>3.1 Assess post-transaction portfolio for inclusion of both original transaction and any subsequent hedges</w:t>
            </w:r>
          </w:p>
          <w:p w:rsidR="00000000" w:rsidRPr="000C0523" w:rsidP="000C0523">
            <w:pPr>
              <w:pStyle w:val="List"/>
            </w:pPr>
            <w:r w:rsidRPr="000C0523">
              <w:t xml:space="preserve">3.2 Assess if position is within organisational risk tolerance and </w:t>
            </w:r>
            <w:r w:rsidRPr="000C0523">
              <w:t>adjusted for changing market conditions</w:t>
            </w:r>
          </w:p>
        </w:tc>
      </w:tr>
    </w:tbl>
    <w:p w:rsidR="00000000" w:rsidRPr="000C0523" w:rsidP="000C0523">
      <w:pPr>
        <w:pStyle w:val="BodyText"/>
      </w:pPr>
    </w:p>
    <w:p w:rsidR="00000000" w:rsidRPr="000C0523" w:rsidP="000C0523">
      <w:pPr>
        <w:pStyle w:val="AllowPageBreak"/>
      </w:pPr>
    </w:p>
    <w:p w:rsidR="00000000" w:rsidRPr="000C0523" w:rsidP="000C0523">
      <w:pPr>
        <w:pStyle w:val="Heading1"/>
      </w:pPr>
      <w:bookmarkStart w:id="5" w:name="O_1075057"/>
      <w:bookmarkEnd w:id="5"/>
      <w:r w:rsidRPr="000C0523">
        <w:t>Foundation Skills</w:t>
      </w:r>
    </w:p>
    <w:p w:rsidR="00000000" w:rsidRPr="00D5610D" w:rsidP="00D5610D">
      <w:pPr>
        <w:pStyle w:val="BodyText"/>
        <w:rPr>
          <w:i/>
        </w:rPr>
      </w:pPr>
      <w:r w:rsidRPr="00D5610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916"/>
      </w:tblGrid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BodyText"/>
            </w:pPr>
            <w:r w:rsidRPr="000C0523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rPr>
                <w:rStyle w:val="SpecialBold"/>
              </w:rPr>
              <w:t>Description</w:t>
            </w:r>
          </w:p>
        </w:tc>
      </w:tr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23">
            <w:pPr>
              <w:pStyle w:val="ListBullet"/>
              <w:rPr>
                <w:lang w:val="en-NZ"/>
              </w:rPr>
            </w:pPr>
            <w:r w:rsidRPr="000C0523">
              <w:t>Interprets and analyses information from a range of texts including customer communication, organisational documentation and regulation</w:t>
            </w:r>
          </w:p>
        </w:tc>
      </w:tr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23">
            <w:pPr>
              <w:pStyle w:val="ListBullet"/>
              <w:rPr>
                <w:lang w:val="en-NZ"/>
              </w:rPr>
            </w:pPr>
            <w:r w:rsidRPr="000C0523">
              <w:t xml:space="preserve">Prepares documentation and correspondence according to organisational formats using clear language, grammar, spelling and terminology </w:t>
            </w:r>
          </w:p>
        </w:tc>
      </w:tr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23">
            <w:pPr>
              <w:pStyle w:val="ListBullet"/>
              <w:rPr>
                <w:lang w:val="en-NZ"/>
              </w:rPr>
            </w:pPr>
            <w:r w:rsidRPr="000C0523">
              <w:t>Interprets and analyses mathematical information to manage risk</w:t>
            </w:r>
          </w:p>
        </w:tc>
      </w:tr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523" w:rsidP="000C0523">
            <w:pPr>
              <w:pStyle w:val="ListBullet"/>
            </w:pPr>
            <w:r w:rsidRPr="000C0523">
              <w:t>Identify roles and responsibilities of own role and makes basic decisions on work completion parameters</w:t>
            </w:r>
          </w:p>
          <w:p w:rsidR="00000000" w:rsidRPr="000C0523" w:rsidP="000C0523">
            <w:pPr>
              <w:pStyle w:val="ListBullet"/>
            </w:pPr>
            <w:r w:rsidRPr="000C0523">
              <w:t xml:space="preserve">Follows organisational policy, procedures and protocols, and regulatory requirements relevant to own role </w:t>
            </w:r>
          </w:p>
          <w:p w:rsidR="00000000" w:rsidP="000C0523">
            <w:pPr>
              <w:pStyle w:val="ListBullet"/>
              <w:rPr>
                <w:lang w:val="en-NZ"/>
              </w:rPr>
            </w:pPr>
            <w:r w:rsidRPr="000C0523">
              <w:t>Plans and implements routine tasks and worklo</w:t>
            </w:r>
            <w:r w:rsidRPr="000C0523">
              <w:t xml:space="preserve">ad, making limited decisions on sequencing and timing </w:t>
            </w:r>
          </w:p>
        </w:tc>
      </w:tr>
      <w:tr w:rsidTr="000C052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523" w:rsidP="000C0523">
            <w:pPr>
              <w:pStyle w:val="ListBullet"/>
            </w:pPr>
            <w:r w:rsidRPr="000C0523">
              <w:t>Uses main features and functions of digital tools to complete work tasks and access information</w:t>
            </w:r>
          </w:p>
        </w:tc>
      </w:tr>
    </w:tbl>
    <w:p w:rsidR="00000000" w:rsidRPr="000C0523" w:rsidP="000C0523">
      <w:pPr>
        <w:pStyle w:val="BodyText"/>
      </w:pPr>
    </w:p>
    <w:p w:rsidR="00000000" w:rsidRPr="000C0523" w:rsidP="000C0523">
      <w:pPr>
        <w:pStyle w:val="AllowPageBreak"/>
      </w:pPr>
    </w:p>
    <w:p w:rsidR="00000000" w:rsidRPr="000C0523" w:rsidP="000C0523">
      <w:pPr>
        <w:pStyle w:val="Heading1"/>
      </w:pPr>
      <w:bookmarkStart w:id="6" w:name="O_1075056"/>
      <w:bookmarkEnd w:id="6"/>
      <w:r w:rsidRPr="000C0523">
        <w:t>Unit Mapping Information</w:t>
      </w:r>
    </w:p>
    <w:p w:rsidR="00000000" w:rsidRPr="000C0523" w:rsidP="00D5610D">
      <w:pPr>
        <w:pStyle w:val="BodyText"/>
      </w:pPr>
      <w:r w:rsidRPr="000C0523">
        <w:t>Supe</w:t>
      </w:r>
      <w:r w:rsidRPr="000C0523">
        <w:t>rsedes and is equivalent to FNSFMK602 Manage financial risk.</w:t>
      </w:r>
    </w:p>
    <w:p w:rsidR="00000000" w:rsidRPr="000C0523" w:rsidP="000C0523">
      <w:pPr>
        <w:pStyle w:val="Heading1"/>
      </w:pPr>
      <w:bookmarkStart w:id="7" w:name="O_1075049"/>
      <w:bookmarkEnd w:id="7"/>
      <w:r w:rsidRPr="000C0523">
        <w:t>Links</w:t>
      </w:r>
    </w:p>
    <w:p w:rsidR="00000000" w:rsidRPr="000C0523" w:rsidP="00D5610D">
      <w:pPr>
        <w:pStyle w:val="BodyText"/>
      </w:pPr>
      <w:r w:rsidRPr="000C05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2527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0523" w:rsidP="00D5610D">
      <w:pPr>
        <w:pStyle w:val="BodyText"/>
        <w:sectPr w:rsidSect="000C05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523" w:rsidP="000C0523">
      <w:pPr>
        <w:pStyle w:val="SuperHeading"/>
      </w:pPr>
      <w:r w:rsidRPr="000C0523">
        <w:t>Assessment Requirements for FNSFMK612 Manage trading exposures</w:t>
      </w:r>
    </w:p>
    <w:p w:rsidR="00000000" w:rsidRPr="000C0523" w:rsidP="000C0523">
      <w:pPr>
        <w:pStyle w:val="Heading1"/>
      </w:pPr>
      <w:bookmarkStart w:id="8" w:name="O_1075051"/>
      <w:bookmarkEnd w:id="8"/>
      <w:r w:rsidRPr="000C05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0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BodyText"/>
            </w:pPr>
            <w:r w:rsidRPr="000C05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rPr>
                <w:rStyle w:val="SpecialBold"/>
              </w:rPr>
              <w:t>Comments</w:t>
            </w:r>
          </w:p>
        </w:tc>
      </w:tr>
      <w:tr w:rsidTr="000C0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3">
            <w:pPr>
              <w:pStyle w:val="BodyText"/>
              <w:rPr>
                <w:lang w:val="en-NZ"/>
              </w:rPr>
            </w:pPr>
            <w:r w:rsidRPr="000C05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3" w:rsidP="000C0523">
            <w:pPr>
              <w:pStyle w:val="BodyText"/>
            </w:pPr>
            <w:r w:rsidRPr="000C0523">
              <w:t>This version first released with FNS Financial Services Training Package Version 4.0.</w:t>
            </w:r>
          </w:p>
        </w:tc>
      </w:tr>
    </w:tbl>
    <w:p w:rsidR="00000000" w:rsidRPr="000C0523" w:rsidP="000C0523">
      <w:pPr>
        <w:pStyle w:val="BodyText"/>
      </w:pPr>
    </w:p>
    <w:p w:rsidR="00000000" w:rsidRPr="000C0523" w:rsidP="000C0523">
      <w:pPr>
        <w:pStyle w:val="AllowPageBreak"/>
      </w:pPr>
    </w:p>
    <w:p w:rsidR="00000000" w:rsidRPr="000C0523" w:rsidP="000C0523">
      <w:pPr>
        <w:pStyle w:val="Heading1"/>
      </w:pPr>
      <w:bookmarkStart w:id="9" w:name="O_1075054"/>
      <w:bookmarkEnd w:id="9"/>
      <w:r w:rsidRPr="000C0523">
        <w:t>Performance Evidence</w:t>
      </w:r>
    </w:p>
    <w:p w:rsidR="00000000" w:rsidRPr="000C0523" w:rsidP="00D5610D">
      <w:pPr>
        <w:pStyle w:val="BodyText"/>
      </w:pPr>
      <w:r w:rsidRPr="000C0523">
        <w:t>The candidate must demonstrate the ability to complete the tasks outlined in the elements, performance criteria and foundation skills of this unit, including evidence of the ability to:</w:t>
      </w:r>
    </w:p>
    <w:p w:rsidR="00000000" w:rsidRPr="000C0523" w:rsidP="000C0523">
      <w:pPr>
        <w:pStyle w:val="ListBullet"/>
      </w:pPr>
      <w:r w:rsidRPr="000C0523">
        <w:t>assess risk and develop two hedging strategies to manage trading exposures.</w:t>
      </w:r>
    </w:p>
    <w:p w:rsidR="00000000" w:rsidRPr="000C0523" w:rsidP="000C0523">
      <w:pPr>
        <w:pStyle w:val="BodyText"/>
      </w:pPr>
    </w:p>
    <w:p w:rsidR="00000000" w:rsidRPr="000C0523" w:rsidP="00D5610D">
      <w:pPr>
        <w:pStyle w:val="BodyText"/>
      </w:pPr>
      <w:r w:rsidRPr="000C0523">
        <w:t>In the course of the above, the candidate must:</w:t>
      </w:r>
    </w:p>
    <w:p w:rsidR="00000000" w:rsidRPr="000C0523" w:rsidP="000C0523">
      <w:pPr>
        <w:pStyle w:val="ListBullet"/>
      </w:pPr>
      <w:r w:rsidRPr="000C0523">
        <w:t>develop hedging strategies to mitigate risk in line with organisational risk tolerance</w:t>
      </w:r>
    </w:p>
    <w:p w:rsidR="00000000" w:rsidRPr="000C0523" w:rsidP="000C0523">
      <w:pPr>
        <w:pStyle w:val="ListBullet"/>
      </w:pPr>
      <w:r w:rsidRPr="000C0523">
        <w:t>assess risks of underlying hedge transactions and existing portfolio structure</w:t>
      </w:r>
    </w:p>
    <w:p w:rsidR="00000000" w:rsidRPr="000C0523" w:rsidP="000C0523">
      <w:pPr>
        <w:pStyle w:val="ListBullet"/>
      </w:pPr>
      <w:r w:rsidRPr="000C0523">
        <w:t>evaluate and adjust financial positions</w:t>
      </w:r>
    </w:p>
    <w:p w:rsidR="00000000" w:rsidRPr="000C0523" w:rsidP="000C0523">
      <w:pPr>
        <w:pStyle w:val="ListBullet"/>
      </w:pPr>
      <w:r w:rsidRPr="000C0523">
        <w:t>comply with organisational practices for identifying and reporting potential trading limit breaches.</w:t>
      </w:r>
    </w:p>
    <w:p w:rsidR="00000000" w:rsidRPr="000C0523" w:rsidP="000C0523">
      <w:pPr>
        <w:pStyle w:val="AllowPageBreak"/>
      </w:pPr>
    </w:p>
    <w:p w:rsidR="00000000" w:rsidRPr="000C0523" w:rsidP="000C0523">
      <w:pPr>
        <w:pStyle w:val="Heading1"/>
      </w:pPr>
      <w:bookmarkStart w:id="10" w:name="O_1075053"/>
      <w:bookmarkEnd w:id="10"/>
      <w:r w:rsidRPr="000C0523">
        <w:t>Knowledge Evidenc</w:t>
      </w:r>
      <w:r w:rsidRPr="000C0523">
        <w:t>e</w:t>
      </w:r>
    </w:p>
    <w:p w:rsidR="00000000" w:rsidRPr="000C0523" w:rsidP="00D5610D">
      <w:pPr>
        <w:pStyle w:val="BodyText"/>
      </w:pPr>
      <w:r w:rsidRPr="000C0523">
        <w:t>The candidate must be able to demonstrate knowledge to complete the tasks outlined in the elements, performance criteria and foundation skills of this unit, including knowledge of:</w:t>
      </w:r>
    </w:p>
    <w:p w:rsidR="00000000" w:rsidRPr="000C0523" w:rsidP="000C0523">
      <w:pPr>
        <w:pStyle w:val="ListBullet"/>
      </w:pPr>
      <w:r w:rsidRPr="000C0523">
        <w:t>regulatory and organisational requirements for managing trading exposure</w:t>
      </w:r>
      <w:r w:rsidRPr="000C0523">
        <w:t>s</w:t>
      </w:r>
    </w:p>
    <w:p w:rsidR="00000000" w:rsidRPr="000C0523" w:rsidP="000C0523">
      <w:pPr>
        <w:pStyle w:val="ListBullet"/>
      </w:pPr>
      <w:r w:rsidRPr="000C0523">
        <w:t>financial market products that are traded in a particular asset class</w:t>
      </w:r>
    </w:p>
    <w:p w:rsidR="00000000" w:rsidRPr="000C0523" w:rsidP="000C0523">
      <w:pPr>
        <w:pStyle w:val="ListBullet"/>
      </w:pPr>
      <w:r w:rsidRPr="000C0523">
        <w:t>market risk, basis risk, value at risk (VaR)</w:t>
      </w:r>
    </w:p>
    <w:p w:rsidR="00000000" w:rsidRPr="000C0523" w:rsidP="000C0523">
      <w:pPr>
        <w:pStyle w:val="ListBullet"/>
      </w:pPr>
      <w:r w:rsidRPr="000C0523">
        <w:t>trading limit types</w:t>
      </w:r>
    </w:p>
    <w:p w:rsidR="00000000" w:rsidRPr="000C0523" w:rsidP="000C0523">
      <w:pPr>
        <w:pStyle w:val="ListBullet"/>
      </w:pPr>
      <w:r w:rsidRPr="000C0523">
        <w:t>organisational policies and procedures for managing potential trading limit breaches and risks</w:t>
      </w:r>
    </w:p>
    <w:p w:rsidR="00000000" w:rsidRPr="000C0523" w:rsidP="000C0523">
      <w:pPr>
        <w:pStyle w:val="ListBullet"/>
      </w:pPr>
      <w:r w:rsidRPr="000C0523">
        <w:t>risk measurement techniq</w:t>
      </w:r>
      <w:r w:rsidRPr="000C0523">
        <w:t>ues such as VaR and basis point (BPS)</w:t>
      </w:r>
    </w:p>
    <w:p w:rsidR="00000000" w:rsidRPr="000C0523" w:rsidP="000C0523">
      <w:pPr>
        <w:pStyle w:val="ListBullet"/>
      </w:pPr>
      <w:r w:rsidRPr="000C0523">
        <w:t>market conditions and liquidity when managing financial risk</w:t>
      </w:r>
    </w:p>
    <w:p w:rsidR="00000000" w:rsidRPr="000C0523" w:rsidP="000C0523">
      <w:pPr>
        <w:pStyle w:val="ListBullet"/>
      </w:pPr>
      <w:r w:rsidRPr="000C0523">
        <w:t>venues for executing financial transactions</w:t>
      </w:r>
    </w:p>
    <w:p w:rsidR="00000000" w:rsidRPr="000C0523" w:rsidP="000C0523">
      <w:pPr>
        <w:pStyle w:val="ListBullet"/>
      </w:pPr>
      <w:r w:rsidRPr="000C0523">
        <w:t>methodologies for data interpretation and analysis.</w:t>
      </w:r>
    </w:p>
    <w:p w:rsidR="00000000" w:rsidRPr="000C0523" w:rsidP="000C0523">
      <w:pPr>
        <w:pStyle w:val="AllowPageBreak"/>
      </w:pPr>
    </w:p>
    <w:p w:rsidR="00000000" w:rsidRPr="000C0523" w:rsidP="000C0523">
      <w:pPr>
        <w:pStyle w:val="Heading1"/>
      </w:pPr>
      <w:bookmarkStart w:id="11" w:name="O_1075052"/>
      <w:bookmarkEnd w:id="11"/>
      <w:r w:rsidRPr="000C0523">
        <w:t>Assessment Conditions</w:t>
      </w:r>
    </w:p>
    <w:p w:rsidR="00000000" w:rsidRPr="000C0523" w:rsidP="00D5610D">
      <w:pPr>
        <w:pStyle w:val="BodyText"/>
      </w:pPr>
      <w:r w:rsidRPr="000C0523">
        <w:t>Skills in this unit must be demonstrated in a workplace or simulated environment where the conditions are typical of those in a working environment in this industry.</w:t>
      </w:r>
    </w:p>
    <w:p w:rsidR="00000000" w:rsidRPr="000C0523" w:rsidP="00D5610D">
      <w:pPr>
        <w:pStyle w:val="BodyText"/>
      </w:pPr>
      <w:r w:rsidRPr="000C0523">
        <w:t>This includes access to:</w:t>
      </w:r>
    </w:p>
    <w:p w:rsidR="00000000" w:rsidRPr="000C0523" w:rsidP="000C0523">
      <w:pPr>
        <w:pStyle w:val="ListBullet"/>
      </w:pPr>
      <w:r w:rsidRPr="000C0523">
        <w:t>common office equipment, technology, software and consumables re</w:t>
      </w:r>
      <w:r w:rsidRPr="000C0523">
        <w:t>quired to manage trading exposure</w:t>
      </w:r>
    </w:p>
    <w:p w:rsidR="00000000" w:rsidRPr="000C0523" w:rsidP="000C0523">
      <w:pPr>
        <w:pStyle w:val="ListBullet"/>
      </w:pPr>
      <w:r w:rsidRPr="000C0523">
        <w:t>organisational records, policies and procedures required for the performance evidence.</w:t>
      </w:r>
    </w:p>
    <w:p w:rsidR="00000000" w:rsidRPr="000C0523" w:rsidP="000C0523">
      <w:pPr>
        <w:pStyle w:val="BodyText"/>
      </w:pPr>
    </w:p>
    <w:p w:rsidR="00000000" w:rsidRPr="000C0523" w:rsidP="00D5610D">
      <w:pPr>
        <w:pStyle w:val="BodyText"/>
      </w:pPr>
      <w:r w:rsidRPr="000C0523">
        <w:t>Assessors of this unit must satisfy the requirements for assessors in applicable vocational education and training legislation, framew</w:t>
      </w:r>
      <w:r w:rsidRPr="000C0523">
        <w:t xml:space="preserve">orks and/or standards. </w:t>
      </w:r>
    </w:p>
    <w:p w:rsidR="00000000" w:rsidRPr="000C0523" w:rsidP="000C0523">
      <w:pPr>
        <w:pStyle w:val="Heading1"/>
      </w:pPr>
      <w:bookmarkStart w:id="12" w:name="O_1075050"/>
      <w:bookmarkEnd w:id="12"/>
      <w:r w:rsidRPr="000C0523">
        <w:t>Links</w:t>
      </w:r>
    </w:p>
    <w:p w:rsidR="00000000" w:rsidRPr="000C0523" w:rsidP="00D5610D">
      <w:pPr>
        <w:pStyle w:val="BodyText"/>
      </w:pPr>
      <w:r w:rsidRPr="000C05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2527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0523" w:rsidP="000C0523"/>
    <w:sectPr w:rsidSect="000C05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3" w:rsidRPr="00D5610D" w:rsidP="00D56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0D" w:rsidP="000C0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10D" w:rsidP="000C0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610D" w:rsidP="000C05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3" w:rsidP="000C0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610D">
      <w:t>Approved</w:t>
    </w:r>
    <w:r w:rsidR="00D561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61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610D">
      <w:rPr>
        <w:noProof/>
      </w:rPr>
      <w:t>4</w:t>
    </w:r>
    <w:r>
      <w:rPr>
        <w:noProof/>
      </w:rPr>
      <w:fldChar w:fldCharType="end"/>
    </w:r>
  </w:p>
  <w:p w:rsidR="000C0523" w:rsidP="000C0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61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610D">
      <w:t>Future Skills Organisation</w:t>
    </w:r>
    <w:r w:rsidR="00D5610D">
      <w:fldChar w:fldCharType="end"/>
    </w:r>
  </w:p>
  <w:p w:rsidR="000C0523" w:rsidP="000C0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523" w:rsidRPr="00D5610D" w:rsidP="00D56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0D" w:rsidRPr="002D2AF8" w:rsidP="000C0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FNSFMK612 Manage trading exposures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610D" w:rsidP="000C05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3" w:rsidRPr="002D2AF8" w:rsidP="000C0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610D">
      <w:t>FNSFMK612 Manage trading exposures</w:t>
    </w:r>
    <w:r w:rsidR="00D561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610D">
      <w:rPr>
        <w:noProof/>
      </w:rPr>
      <w:t>2 March 2025</w:t>
    </w:r>
    <w:r>
      <w:fldChar w:fldCharType="end"/>
    </w:r>
  </w:p>
  <w:p w:rsidR="000C0523" w:rsidP="000C0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868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EEC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523"/>
  </w:style>
  <w:style w:type="character" w:customStyle="1" w:styleId="Heading1Char">
    <w:name w:val="Heading 1 Char"/>
    <w:basedOn w:val="DefaultParagraphFont"/>
    <w:link w:val="Heading1"/>
    <w:rsid w:val="000C0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5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05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5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523"/>
    <w:rPr>
      <w:b/>
      <w:spacing w:val="0"/>
    </w:rPr>
  </w:style>
  <w:style w:type="character" w:styleId="Emphasis">
    <w:name w:val="Emphasis"/>
    <w:basedOn w:val="DefaultParagraphFont"/>
    <w:qFormat/>
    <w:rsid w:val="000C0523"/>
    <w:rPr>
      <w:i/>
    </w:rPr>
  </w:style>
  <w:style w:type="paragraph" w:customStyle="1" w:styleId="SuperHeading">
    <w:name w:val="SuperHeading"/>
    <w:basedOn w:val="Normal"/>
    <w:rsid w:val="000C0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5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0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5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5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523"/>
  </w:style>
  <w:style w:type="paragraph" w:styleId="TableofFigures">
    <w:name w:val="table of figures"/>
    <w:basedOn w:val="Normal"/>
    <w:next w:val="Normal"/>
    <w:semiHidden/>
    <w:rsid w:val="000C0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5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0523"/>
    <w:rPr>
      <w:rFonts w:ascii="Wingdings" w:hAnsi="Wingdings"/>
    </w:rPr>
  </w:style>
  <w:style w:type="paragraph" w:customStyle="1" w:styleId="TableHeading">
    <w:name w:val="Table Heading"/>
    <w:basedOn w:val="HeadingBase"/>
    <w:rsid w:val="000C0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523"/>
    <w:rPr>
      <w:color w:val="0033CC"/>
      <w:u w:val="none"/>
    </w:rPr>
  </w:style>
  <w:style w:type="paragraph" w:customStyle="1" w:styleId="BodyTextRight">
    <w:name w:val="Body Text Right"/>
    <w:basedOn w:val="BodyText"/>
    <w:rsid w:val="000C0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5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523"/>
    <w:rPr>
      <w:sz w:val="32"/>
    </w:rPr>
  </w:style>
  <w:style w:type="paragraph" w:customStyle="1" w:styleId="HeadingProcedure">
    <w:name w:val="Heading Procedure"/>
    <w:basedOn w:val="HeadingBase"/>
    <w:next w:val="Normal"/>
    <w:rsid w:val="000C0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523"/>
    <w:pPr>
      <w:spacing w:before="60" w:after="60"/>
    </w:pPr>
  </w:style>
  <w:style w:type="paragraph" w:styleId="ListContinue">
    <w:name w:val="List Continue"/>
    <w:basedOn w:val="List"/>
    <w:rsid w:val="000C0523"/>
    <w:pPr>
      <w:ind w:firstLine="0"/>
    </w:pPr>
  </w:style>
  <w:style w:type="paragraph" w:customStyle="1" w:styleId="ListNote">
    <w:name w:val="List Note"/>
    <w:basedOn w:val="List"/>
    <w:rsid w:val="000C0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523"/>
    <w:rPr>
      <w:rFonts w:ascii="Courier New" w:hAnsi="Courier New"/>
    </w:rPr>
  </w:style>
  <w:style w:type="paragraph" w:customStyle="1" w:styleId="NoteBullet">
    <w:name w:val="Note Bullet"/>
    <w:basedOn w:val="Note"/>
    <w:rsid w:val="000C0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5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0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523"/>
    <w:rPr>
      <w:b/>
      <w:smallCaps/>
    </w:rPr>
  </w:style>
  <w:style w:type="paragraph" w:customStyle="1" w:styleId="TableListNumber">
    <w:name w:val="Table List Number"/>
    <w:basedOn w:val="ListNumber"/>
    <w:rsid w:val="000C0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523"/>
    <w:pPr>
      <w:numPr>
        <w:numId w:val="8"/>
      </w:numPr>
    </w:pPr>
  </w:style>
  <w:style w:type="paragraph" w:customStyle="1" w:styleId="ListAlpha2">
    <w:name w:val="List Alpha 2"/>
    <w:basedOn w:val="List2"/>
    <w:rsid w:val="000C0523"/>
    <w:pPr>
      <w:numPr>
        <w:numId w:val="7"/>
      </w:numPr>
    </w:pPr>
  </w:style>
  <w:style w:type="paragraph" w:styleId="List2">
    <w:name w:val="List 2"/>
    <w:basedOn w:val="BodyText"/>
    <w:rsid w:val="000C0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5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5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0523"/>
    <w:pPr>
      <w:numPr>
        <w:numId w:val="3"/>
      </w:numPr>
    </w:pPr>
  </w:style>
  <w:style w:type="paragraph" w:styleId="ListContinue2">
    <w:name w:val="List Continue 2"/>
    <w:basedOn w:val="List2"/>
    <w:rsid w:val="000C0523"/>
    <w:pPr>
      <w:ind w:firstLine="0"/>
    </w:pPr>
  </w:style>
  <w:style w:type="paragraph" w:styleId="ListContinue3">
    <w:name w:val="List Continue 3"/>
    <w:basedOn w:val="List3"/>
    <w:rsid w:val="000C0523"/>
    <w:pPr>
      <w:ind w:left="1021" w:firstLine="0"/>
    </w:pPr>
  </w:style>
  <w:style w:type="paragraph" w:styleId="ListContinue4">
    <w:name w:val="List Continue 4"/>
    <w:basedOn w:val="List4"/>
    <w:rsid w:val="000C0523"/>
    <w:pPr>
      <w:ind w:firstLine="0"/>
    </w:pPr>
  </w:style>
  <w:style w:type="paragraph" w:styleId="ListContinue5">
    <w:name w:val="List Continue 5"/>
    <w:basedOn w:val="List5"/>
    <w:rsid w:val="000C0523"/>
    <w:pPr>
      <w:ind w:firstLine="0"/>
    </w:pPr>
  </w:style>
  <w:style w:type="paragraph" w:styleId="ListNumber3">
    <w:name w:val="List Number 3"/>
    <w:basedOn w:val="List3"/>
    <w:rsid w:val="000C0523"/>
    <w:pPr>
      <w:numPr>
        <w:numId w:val="4"/>
      </w:numPr>
    </w:pPr>
  </w:style>
  <w:style w:type="paragraph" w:styleId="ListNumber4">
    <w:name w:val="List Number 4"/>
    <w:basedOn w:val="List4"/>
    <w:rsid w:val="000C0523"/>
    <w:pPr>
      <w:numPr>
        <w:numId w:val="5"/>
      </w:numPr>
    </w:pPr>
  </w:style>
  <w:style w:type="paragraph" w:styleId="ListNumber5">
    <w:name w:val="List Number 5"/>
    <w:basedOn w:val="List5"/>
    <w:rsid w:val="000C0523"/>
    <w:pPr>
      <w:numPr>
        <w:numId w:val="6"/>
      </w:numPr>
    </w:pPr>
  </w:style>
  <w:style w:type="paragraph" w:styleId="BlockText">
    <w:name w:val="Block Text"/>
    <w:basedOn w:val="Normal"/>
    <w:rsid w:val="000C0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523"/>
    <w:rPr>
      <w:sz w:val="16"/>
      <w:vertAlign w:val="superscript"/>
    </w:rPr>
  </w:style>
  <w:style w:type="character" w:customStyle="1" w:styleId="Symbols">
    <w:name w:val="Symbols"/>
    <w:basedOn w:val="DefaultParagraphFont"/>
    <w:rsid w:val="000C0523"/>
    <w:rPr>
      <w:rFonts w:ascii="Symbol" w:hAnsi="Symbol"/>
    </w:rPr>
  </w:style>
  <w:style w:type="character" w:customStyle="1" w:styleId="MenuOptions">
    <w:name w:val="Menu Options"/>
    <w:basedOn w:val="DefaultParagraphFont"/>
    <w:rsid w:val="000C0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523"/>
    <w:rPr>
      <w:b/>
    </w:rPr>
  </w:style>
  <w:style w:type="character" w:customStyle="1" w:styleId="Underlined">
    <w:name w:val="Underlined"/>
    <w:basedOn w:val="DefaultParagraphFont"/>
    <w:rsid w:val="000C0523"/>
    <w:rPr>
      <w:u w:val="single"/>
    </w:rPr>
  </w:style>
  <w:style w:type="paragraph" w:customStyle="1" w:styleId="TableBodyTextRight">
    <w:name w:val="Table Body Text Right"/>
    <w:basedOn w:val="TableBodyText"/>
    <w:rsid w:val="000C0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523"/>
    <w:rPr>
      <w:sz w:val="18"/>
    </w:rPr>
  </w:style>
  <w:style w:type="paragraph" w:customStyle="1" w:styleId="BodySmallRight">
    <w:name w:val="Body Small Right"/>
    <w:basedOn w:val="BodyTextRight"/>
    <w:rsid w:val="000C0523"/>
    <w:rPr>
      <w:sz w:val="18"/>
      <w:szCs w:val="18"/>
    </w:rPr>
  </w:style>
  <w:style w:type="paragraph" w:customStyle="1" w:styleId="MarginEdition">
    <w:name w:val="Margin Edition"/>
    <w:basedOn w:val="MarginNote"/>
    <w:rsid w:val="000C0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523"/>
    <w:rPr>
      <w:sz w:val="2"/>
      <w:szCs w:val="2"/>
    </w:rPr>
  </w:style>
  <w:style w:type="character" w:customStyle="1" w:styleId="Small">
    <w:name w:val="Small"/>
    <w:basedOn w:val="DefaultParagraphFont"/>
    <w:rsid w:val="000C0523"/>
    <w:rPr>
      <w:sz w:val="16"/>
    </w:rPr>
  </w:style>
  <w:style w:type="paragraph" w:customStyle="1" w:styleId="WideTable">
    <w:name w:val="Wide Table"/>
    <w:basedOn w:val="Normal"/>
    <w:rsid w:val="000C0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523"/>
  </w:style>
  <w:style w:type="paragraph" w:styleId="Quote">
    <w:name w:val="Quote"/>
    <w:basedOn w:val="Heading1"/>
    <w:link w:val="QuoteChar"/>
    <w:qFormat/>
    <w:rsid w:val="000C0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523"/>
    <w:pPr>
      <w:pageBreakBefore/>
    </w:pPr>
  </w:style>
  <w:style w:type="paragraph" w:customStyle="1" w:styleId="Border">
    <w:name w:val="Border"/>
    <w:basedOn w:val="Normal"/>
    <w:qFormat/>
    <w:rsid w:val="000C0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523"/>
    <w:rPr>
      <w:u w:val="single"/>
    </w:rPr>
  </w:style>
  <w:style w:type="character" w:customStyle="1" w:styleId="BoldandItalics">
    <w:name w:val="Bold and Italics"/>
    <w:qFormat/>
    <w:rsid w:val="000C0523"/>
    <w:rPr>
      <w:b/>
      <w:i/>
      <w:u w:val="none"/>
    </w:rPr>
  </w:style>
  <w:style w:type="paragraph" w:styleId="BalloonText">
    <w:name w:val="Balloon Text"/>
    <w:basedOn w:val="Normal"/>
    <w:link w:val="BalloonTextChar"/>
    <w:rsid w:val="000C0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523"/>
    <w:pPr>
      <w:spacing w:before="0" w:after="0"/>
    </w:pPr>
  </w:style>
  <w:style w:type="paragraph" w:customStyle="1" w:styleId="BodyTextBold">
    <w:name w:val="Body Text Bold"/>
    <w:basedOn w:val="BodyText"/>
    <w:qFormat/>
    <w:rsid w:val="000C0523"/>
    <w:rPr>
      <w:b/>
    </w:rPr>
  </w:style>
  <w:style w:type="character" w:styleId="Hyperlink">
    <w:name w:val="Hyperlink"/>
    <w:basedOn w:val="DefaultParagraphFont"/>
    <w:uiPriority w:val="99"/>
    <w:unhideWhenUsed/>
    <w:rsid w:val="00D56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772</Words>
  <Characters>5077</Characters>
  <Application>Microsoft Office Word</Application>
  <DocSecurity>0</DocSecurity>
  <Lines>153</Lines>
  <Paragraphs>100</Paragraphs>
  <ScaleCrop>false</ScaleCrop>
  <Company>Author-it Software Corporation Ltd.</Company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FNSFMK612 Manage trading exposures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2025-03-01T18:37:00Z</dcterms:created>
  <dcterms:modified xsi:type="dcterms:W3CDTF">2025-03-01T18:37:00Z</dcterms:modified>
</cp:coreProperties>
</file>