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BBB" w:rsidP="004C5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FNSFMK612 Manage trading exposures</w:t>
      </w:r>
      <w:r>
        <w:fldChar w:fldCharType="end"/>
      </w:r>
    </w:p>
    <w:p w:rsidR="004C5BBB" w:rsidP="004C5BBB">
      <w:pPr>
        <w:pStyle w:val="Version"/>
        <w:sectPr w:rsidSect="00946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6CE" w:rsidP="009466CE">
      <w:pPr>
        <w:pStyle w:val="SuperHeading"/>
      </w:pPr>
      <w:r w:rsidRPr="009466CE">
        <w:t>Assessment Re</w:t>
      </w:r>
      <w:r w:rsidRPr="009466CE">
        <w:t>quirements for FNSFMK612 Manage trading exposures</w:t>
      </w:r>
    </w:p>
    <w:p w:rsidR="00000000" w:rsidRPr="009466CE" w:rsidP="009466CE">
      <w:pPr>
        <w:pStyle w:val="Heading1"/>
      </w:pPr>
      <w:bookmarkStart w:id="1" w:name="O_1075051"/>
      <w:bookmarkEnd w:id="1"/>
      <w:r w:rsidRPr="009466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6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CE" w:rsidP="009466CE">
            <w:pPr>
              <w:pStyle w:val="BodyText"/>
            </w:pPr>
            <w:r w:rsidRPr="009466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CE">
            <w:pPr>
              <w:pStyle w:val="BodyText"/>
              <w:rPr>
                <w:lang w:val="en-NZ"/>
              </w:rPr>
            </w:pPr>
            <w:r w:rsidRPr="009466CE">
              <w:rPr>
                <w:rStyle w:val="SpecialBold"/>
              </w:rPr>
              <w:t>Comments</w:t>
            </w:r>
          </w:p>
        </w:tc>
      </w:tr>
      <w:tr w:rsidTr="00946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6CE">
            <w:pPr>
              <w:pStyle w:val="BodyText"/>
              <w:rPr>
                <w:lang w:val="en-NZ"/>
              </w:rPr>
            </w:pPr>
            <w:r w:rsidRPr="009466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6CE" w:rsidP="009466CE">
            <w:pPr>
              <w:pStyle w:val="BodyText"/>
            </w:pPr>
            <w:r w:rsidRPr="009466CE">
              <w:t>This version first released with FNS Financial Services Training Package Version 4.0.</w:t>
            </w:r>
          </w:p>
        </w:tc>
      </w:tr>
    </w:tbl>
    <w:p w:rsidR="00000000" w:rsidRPr="009466CE" w:rsidP="009466CE">
      <w:pPr>
        <w:pStyle w:val="BodyText"/>
      </w:pPr>
    </w:p>
    <w:p w:rsidR="00000000" w:rsidRPr="009466CE" w:rsidP="009466CE">
      <w:pPr>
        <w:pStyle w:val="AllowPageBreak"/>
      </w:pPr>
    </w:p>
    <w:p w:rsidR="00000000" w:rsidRPr="009466CE" w:rsidP="009466CE">
      <w:pPr>
        <w:pStyle w:val="Heading1"/>
      </w:pPr>
      <w:bookmarkStart w:id="2" w:name="O_1075054"/>
      <w:bookmarkEnd w:id="2"/>
      <w:r w:rsidRPr="009466CE">
        <w:t>Performance Evidence</w:t>
      </w:r>
    </w:p>
    <w:p w:rsidR="00000000" w:rsidRPr="009466CE" w:rsidP="004C5BBB">
      <w:pPr>
        <w:pStyle w:val="BodyText"/>
      </w:pPr>
      <w:r w:rsidRPr="009466CE">
        <w:t>The candidate must demonstrate the ability to complete the tasks outlined in the elements, performance criteria and foundation skills of this unit, including evidence of the ability to:</w:t>
      </w:r>
    </w:p>
    <w:p w:rsidR="00000000" w:rsidRPr="009466CE" w:rsidP="009466CE">
      <w:pPr>
        <w:pStyle w:val="ListBullet"/>
      </w:pPr>
      <w:r w:rsidRPr="009466CE">
        <w:t>assess risk and develop two hedging strategies to manage trading expo</w:t>
      </w:r>
      <w:r w:rsidRPr="009466CE">
        <w:t>sures.</w:t>
      </w:r>
    </w:p>
    <w:p w:rsidR="00000000" w:rsidRPr="009466CE" w:rsidP="009466CE">
      <w:pPr>
        <w:pStyle w:val="BodyText"/>
      </w:pPr>
    </w:p>
    <w:p w:rsidR="00000000" w:rsidRPr="009466CE" w:rsidP="004C5BBB">
      <w:pPr>
        <w:pStyle w:val="BodyText"/>
      </w:pPr>
      <w:r w:rsidRPr="009466CE">
        <w:t>In the course of the above, the candidate must:</w:t>
      </w:r>
    </w:p>
    <w:p w:rsidR="00000000" w:rsidRPr="009466CE" w:rsidP="009466CE">
      <w:pPr>
        <w:pStyle w:val="ListBullet"/>
      </w:pPr>
      <w:r w:rsidRPr="009466CE">
        <w:t>develop hedging strategies to mitigate risk in line with organisational risk tolerance</w:t>
      </w:r>
    </w:p>
    <w:p w:rsidR="00000000" w:rsidRPr="009466CE" w:rsidP="009466CE">
      <w:pPr>
        <w:pStyle w:val="ListBullet"/>
      </w:pPr>
      <w:r w:rsidRPr="009466CE">
        <w:t>assess risks of underlying hedge transactions and existing portfolio structure</w:t>
      </w:r>
    </w:p>
    <w:p w:rsidR="00000000" w:rsidRPr="009466CE" w:rsidP="009466CE">
      <w:pPr>
        <w:pStyle w:val="ListBullet"/>
      </w:pPr>
      <w:r w:rsidRPr="009466CE">
        <w:t>evaluate and adjust financial positions</w:t>
      </w:r>
    </w:p>
    <w:p w:rsidR="00000000" w:rsidRPr="009466CE" w:rsidP="009466CE">
      <w:pPr>
        <w:pStyle w:val="ListBullet"/>
      </w:pPr>
      <w:r w:rsidRPr="009466CE">
        <w:t>comply with organisational practices for identifying and reporting potential trading limit breaches.</w:t>
      </w:r>
    </w:p>
    <w:p w:rsidR="00000000" w:rsidRPr="009466CE" w:rsidP="009466CE">
      <w:pPr>
        <w:pStyle w:val="AllowPageBreak"/>
      </w:pPr>
    </w:p>
    <w:p w:rsidR="00000000" w:rsidRPr="009466CE" w:rsidP="009466CE">
      <w:pPr>
        <w:pStyle w:val="Heading1"/>
      </w:pPr>
      <w:bookmarkStart w:id="3" w:name="O_1075053"/>
      <w:bookmarkEnd w:id="3"/>
      <w:r w:rsidRPr="009466CE">
        <w:t>Knowledge Evidence</w:t>
      </w:r>
    </w:p>
    <w:p w:rsidR="00000000" w:rsidRPr="009466CE" w:rsidP="004C5BBB">
      <w:pPr>
        <w:pStyle w:val="BodyText"/>
      </w:pPr>
      <w:r w:rsidRPr="009466CE">
        <w:t>The candidate must be able to demonstrate knowledge to complete the tasks out</w:t>
      </w:r>
      <w:r w:rsidRPr="009466CE">
        <w:t>lined in the elements, performance criteria and foundation skills of this unit, including knowledge of:</w:t>
      </w:r>
    </w:p>
    <w:p w:rsidR="00000000" w:rsidRPr="009466CE" w:rsidP="009466CE">
      <w:pPr>
        <w:pStyle w:val="ListBullet"/>
      </w:pPr>
      <w:r w:rsidRPr="009466CE">
        <w:t>regulatory and organisational requirements for managing trading exposures</w:t>
      </w:r>
    </w:p>
    <w:p w:rsidR="00000000" w:rsidRPr="009466CE" w:rsidP="009466CE">
      <w:pPr>
        <w:pStyle w:val="ListBullet"/>
      </w:pPr>
      <w:r w:rsidRPr="009466CE">
        <w:t>financial market products that are traded in a particular asset class</w:t>
      </w:r>
    </w:p>
    <w:p w:rsidR="00000000" w:rsidRPr="009466CE" w:rsidP="009466CE">
      <w:pPr>
        <w:pStyle w:val="ListBullet"/>
      </w:pPr>
      <w:r w:rsidRPr="009466CE">
        <w:t xml:space="preserve">market </w:t>
      </w:r>
      <w:r w:rsidRPr="009466CE">
        <w:t>risk, basis risk, value at risk (VaR)</w:t>
      </w:r>
    </w:p>
    <w:p w:rsidR="00000000" w:rsidRPr="009466CE" w:rsidP="009466CE">
      <w:pPr>
        <w:pStyle w:val="ListBullet"/>
      </w:pPr>
      <w:r w:rsidRPr="009466CE">
        <w:t>trading limit types</w:t>
      </w:r>
    </w:p>
    <w:p w:rsidR="00000000" w:rsidRPr="009466CE" w:rsidP="009466CE">
      <w:pPr>
        <w:pStyle w:val="ListBullet"/>
      </w:pPr>
      <w:r w:rsidRPr="009466CE">
        <w:t>organisational policies and procedures for managing potential trading limit breaches and risks</w:t>
      </w:r>
    </w:p>
    <w:p w:rsidR="00000000" w:rsidRPr="009466CE" w:rsidP="009466CE">
      <w:pPr>
        <w:pStyle w:val="ListBullet"/>
      </w:pPr>
      <w:r w:rsidRPr="009466CE">
        <w:t>risk measurement techniques such as VaR and basis point (BPS)</w:t>
      </w:r>
    </w:p>
    <w:p w:rsidR="00000000" w:rsidRPr="009466CE" w:rsidP="009466CE">
      <w:pPr>
        <w:pStyle w:val="ListBullet"/>
      </w:pPr>
      <w:r w:rsidRPr="009466CE">
        <w:t>market conditions and liquidity when mana</w:t>
      </w:r>
      <w:r w:rsidRPr="009466CE">
        <w:t>ging financial risk</w:t>
      </w:r>
    </w:p>
    <w:p w:rsidR="00000000" w:rsidRPr="009466CE" w:rsidP="009466CE">
      <w:pPr>
        <w:pStyle w:val="ListBullet"/>
      </w:pPr>
      <w:r w:rsidRPr="009466CE">
        <w:t>venues for executing financial transactions</w:t>
      </w:r>
    </w:p>
    <w:p w:rsidR="00000000" w:rsidRPr="009466CE" w:rsidP="009466CE">
      <w:pPr>
        <w:pStyle w:val="ListBullet"/>
      </w:pPr>
      <w:r w:rsidRPr="009466CE">
        <w:t>methodologies for data interpretation and analysis.</w:t>
      </w:r>
    </w:p>
    <w:p w:rsidR="00000000" w:rsidRPr="009466CE" w:rsidP="009466CE">
      <w:pPr>
        <w:pStyle w:val="AllowPageBreak"/>
      </w:pPr>
    </w:p>
    <w:p w:rsidR="00000000" w:rsidRPr="009466CE" w:rsidP="009466CE">
      <w:pPr>
        <w:pStyle w:val="Heading1"/>
      </w:pPr>
      <w:bookmarkStart w:id="4" w:name="O_1075052"/>
      <w:bookmarkEnd w:id="4"/>
      <w:r w:rsidRPr="009466CE">
        <w:t>Assessment Conditions</w:t>
      </w:r>
    </w:p>
    <w:p w:rsidR="00000000" w:rsidRPr="009466CE" w:rsidP="004C5BBB">
      <w:pPr>
        <w:pStyle w:val="BodyText"/>
      </w:pPr>
      <w:r w:rsidRPr="009466CE">
        <w:t>Skills in this unit must be demonstrated in a workplace or simulated environment where the conditio</w:t>
      </w:r>
      <w:r w:rsidRPr="009466CE">
        <w:t>ns are typical of those in a working environment in this industry.</w:t>
      </w:r>
    </w:p>
    <w:p w:rsidR="00000000" w:rsidRPr="009466CE" w:rsidP="004C5BBB">
      <w:pPr>
        <w:pStyle w:val="BodyText"/>
      </w:pPr>
      <w:r w:rsidRPr="009466CE">
        <w:t>This includes access to:</w:t>
      </w:r>
    </w:p>
    <w:p w:rsidR="00000000" w:rsidRPr="009466CE" w:rsidP="009466CE">
      <w:pPr>
        <w:pStyle w:val="ListBullet"/>
      </w:pPr>
      <w:r w:rsidRPr="009466CE">
        <w:t>common office equipment, technology, software and consumables required to manage trading exposure</w:t>
      </w:r>
    </w:p>
    <w:p w:rsidR="00000000" w:rsidRPr="009466CE" w:rsidP="009466CE">
      <w:pPr>
        <w:pStyle w:val="ListBullet"/>
      </w:pPr>
      <w:r w:rsidRPr="009466CE">
        <w:t xml:space="preserve">organisational records, policies and procedures required for the </w:t>
      </w:r>
      <w:r w:rsidRPr="009466CE">
        <w:t>performance evidence.</w:t>
      </w:r>
    </w:p>
    <w:p w:rsidR="00000000" w:rsidRPr="009466CE" w:rsidP="009466CE">
      <w:pPr>
        <w:pStyle w:val="BodyText"/>
      </w:pPr>
    </w:p>
    <w:p w:rsidR="00000000" w:rsidRPr="009466CE" w:rsidP="004C5BBB">
      <w:pPr>
        <w:pStyle w:val="BodyText"/>
      </w:pPr>
      <w:r w:rsidRPr="009466CE">
        <w:t xml:space="preserve">Assessors of this unit must satisfy the requirements for assessors in applicable vocational education and training legislation, frameworks and/or standards. </w:t>
      </w:r>
    </w:p>
    <w:p w:rsidR="00000000" w:rsidRPr="009466CE" w:rsidP="009466CE">
      <w:pPr>
        <w:pStyle w:val="Heading1"/>
      </w:pPr>
      <w:bookmarkStart w:id="5" w:name="O_1075050"/>
      <w:bookmarkEnd w:id="5"/>
      <w:r w:rsidRPr="009466CE">
        <w:t>Links</w:t>
      </w:r>
    </w:p>
    <w:p w:rsidR="00000000" w:rsidRPr="009466CE" w:rsidP="004C5BBB">
      <w:pPr>
        <w:pStyle w:val="BodyText"/>
      </w:pPr>
      <w:r w:rsidRPr="009466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F618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66CE" w:rsidP="009466CE"/>
    <w:sectPr w:rsidSect="009466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CE" w:rsidRPr="004C5BBB" w:rsidP="004C5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BB" w:rsidP="00946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BBB" w:rsidP="00946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5BBB" w:rsidP="00946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6CE" w:rsidRPr="004C5BBB" w:rsidP="004C5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BB" w:rsidRPr="002D2AF8" w:rsidP="00946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FNSFMK612 Manage trading exposures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C5BBB" w:rsidP="00946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4F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C2F8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6CE"/>
  </w:style>
  <w:style w:type="character" w:customStyle="1" w:styleId="Heading1Char">
    <w:name w:val="Heading 1 Char"/>
    <w:basedOn w:val="DefaultParagraphFont"/>
    <w:link w:val="Heading1"/>
    <w:rsid w:val="00946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6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6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6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6CE"/>
    <w:rPr>
      <w:b/>
      <w:spacing w:val="0"/>
    </w:rPr>
  </w:style>
  <w:style w:type="paragraph" w:customStyle="1" w:styleId="SuperHeading">
    <w:name w:val="SuperHeading"/>
    <w:basedOn w:val="Normal"/>
    <w:rsid w:val="00946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6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6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6CE"/>
    <w:rPr>
      <w:i/>
    </w:rPr>
  </w:style>
  <w:style w:type="paragraph" w:styleId="Caption">
    <w:name w:val="caption"/>
    <w:basedOn w:val="BodyText"/>
    <w:next w:val="Normal"/>
    <w:qFormat/>
    <w:rsid w:val="00946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6CE"/>
  </w:style>
  <w:style w:type="paragraph" w:styleId="TableofFigures">
    <w:name w:val="table of figures"/>
    <w:basedOn w:val="Normal"/>
    <w:next w:val="Normal"/>
    <w:semiHidden/>
    <w:rsid w:val="00946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6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6CE"/>
    <w:rPr>
      <w:rFonts w:ascii="Wingdings" w:hAnsi="Wingdings"/>
    </w:rPr>
  </w:style>
  <w:style w:type="paragraph" w:customStyle="1" w:styleId="TableHeading">
    <w:name w:val="Table Heading"/>
    <w:basedOn w:val="HeadingBase"/>
    <w:rsid w:val="00946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6CE"/>
    <w:rPr>
      <w:color w:val="0033CC"/>
      <w:u w:val="none"/>
    </w:rPr>
  </w:style>
  <w:style w:type="paragraph" w:customStyle="1" w:styleId="BodyTextRight">
    <w:name w:val="Body Text Right"/>
    <w:basedOn w:val="BodyText"/>
    <w:rsid w:val="00946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6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6CE"/>
    <w:rPr>
      <w:sz w:val="32"/>
    </w:rPr>
  </w:style>
  <w:style w:type="paragraph" w:customStyle="1" w:styleId="HeadingProcedure">
    <w:name w:val="Heading Procedure"/>
    <w:basedOn w:val="HeadingBase"/>
    <w:next w:val="Normal"/>
    <w:rsid w:val="00946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6CE"/>
    <w:pPr>
      <w:spacing w:before="60" w:after="60"/>
    </w:pPr>
  </w:style>
  <w:style w:type="paragraph" w:styleId="ListContinue">
    <w:name w:val="List Continue"/>
    <w:basedOn w:val="List"/>
    <w:rsid w:val="009466CE"/>
    <w:pPr>
      <w:ind w:firstLine="0"/>
    </w:pPr>
  </w:style>
  <w:style w:type="paragraph" w:customStyle="1" w:styleId="ListNote">
    <w:name w:val="List Note"/>
    <w:basedOn w:val="List"/>
    <w:rsid w:val="00946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6CE"/>
    <w:rPr>
      <w:rFonts w:ascii="Courier New" w:hAnsi="Courier New"/>
    </w:rPr>
  </w:style>
  <w:style w:type="paragraph" w:customStyle="1" w:styleId="NoteBullet">
    <w:name w:val="Note Bullet"/>
    <w:basedOn w:val="Note"/>
    <w:rsid w:val="00946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6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6CE"/>
    <w:rPr>
      <w:b/>
      <w:smallCaps/>
    </w:rPr>
  </w:style>
  <w:style w:type="paragraph" w:customStyle="1" w:styleId="TableListNumber">
    <w:name w:val="Table List Number"/>
    <w:basedOn w:val="ListNumber"/>
    <w:rsid w:val="00946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6CE"/>
    <w:pPr>
      <w:numPr>
        <w:numId w:val="8"/>
      </w:numPr>
    </w:pPr>
  </w:style>
  <w:style w:type="paragraph" w:customStyle="1" w:styleId="ListAlpha2">
    <w:name w:val="List Alpha 2"/>
    <w:basedOn w:val="List2"/>
    <w:rsid w:val="009466CE"/>
    <w:pPr>
      <w:numPr>
        <w:numId w:val="7"/>
      </w:numPr>
    </w:pPr>
  </w:style>
  <w:style w:type="paragraph" w:styleId="List2">
    <w:name w:val="List 2"/>
    <w:basedOn w:val="BodyText"/>
    <w:rsid w:val="00946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6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6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6CE"/>
    <w:pPr>
      <w:numPr>
        <w:numId w:val="3"/>
      </w:numPr>
    </w:pPr>
  </w:style>
  <w:style w:type="paragraph" w:styleId="ListContinue2">
    <w:name w:val="List Continue 2"/>
    <w:basedOn w:val="List2"/>
    <w:rsid w:val="009466CE"/>
    <w:pPr>
      <w:ind w:firstLine="0"/>
    </w:pPr>
  </w:style>
  <w:style w:type="paragraph" w:styleId="ListContinue3">
    <w:name w:val="List Continue 3"/>
    <w:basedOn w:val="List3"/>
    <w:rsid w:val="009466CE"/>
    <w:pPr>
      <w:ind w:left="1021" w:firstLine="0"/>
    </w:pPr>
  </w:style>
  <w:style w:type="paragraph" w:styleId="ListContinue4">
    <w:name w:val="List Continue 4"/>
    <w:basedOn w:val="List4"/>
    <w:rsid w:val="009466CE"/>
    <w:pPr>
      <w:ind w:firstLine="0"/>
    </w:pPr>
  </w:style>
  <w:style w:type="paragraph" w:styleId="ListContinue5">
    <w:name w:val="List Continue 5"/>
    <w:basedOn w:val="List5"/>
    <w:rsid w:val="009466CE"/>
    <w:pPr>
      <w:ind w:firstLine="0"/>
    </w:pPr>
  </w:style>
  <w:style w:type="paragraph" w:styleId="ListNumber3">
    <w:name w:val="List Number 3"/>
    <w:basedOn w:val="List3"/>
    <w:rsid w:val="009466CE"/>
    <w:pPr>
      <w:numPr>
        <w:numId w:val="4"/>
      </w:numPr>
    </w:pPr>
  </w:style>
  <w:style w:type="paragraph" w:styleId="ListNumber4">
    <w:name w:val="List Number 4"/>
    <w:basedOn w:val="List4"/>
    <w:rsid w:val="009466CE"/>
    <w:pPr>
      <w:numPr>
        <w:numId w:val="5"/>
      </w:numPr>
    </w:pPr>
  </w:style>
  <w:style w:type="paragraph" w:styleId="ListNumber5">
    <w:name w:val="List Number 5"/>
    <w:basedOn w:val="List5"/>
    <w:rsid w:val="009466CE"/>
    <w:pPr>
      <w:numPr>
        <w:numId w:val="6"/>
      </w:numPr>
    </w:pPr>
  </w:style>
  <w:style w:type="paragraph" w:styleId="BlockText">
    <w:name w:val="Block Text"/>
    <w:basedOn w:val="Normal"/>
    <w:rsid w:val="00946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6CE"/>
    <w:rPr>
      <w:sz w:val="16"/>
      <w:vertAlign w:val="superscript"/>
    </w:rPr>
  </w:style>
  <w:style w:type="character" w:customStyle="1" w:styleId="Symbols">
    <w:name w:val="Symbols"/>
    <w:basedOn w:val="DefaultParagraphFont"/>
    <w:rsid w:val="009466CE"/>
    <w:rPr>
      <w:rFonts w:ascii="Symbol" w:hAnsi="Symbol"/>
    </w:rPr>
  </w:style>
  <w:style w:type="character" w:customStyle="1" w:styleId="MenuOptions">
    <w:name w:val="Menu Options"/>
    <w:basedOn w:val="DefaultParagraphFont"/>
    <w:rsid w:val="00946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6CE"/>
    <w:rPr>
      <w:b/>
    </w:rPr>
  </w:style>
  <w:style w:type="character" w:customStyle="1" w:styleId="Underlined">
    <w:name w:val="Underlined"/>
    <w:basedOn w:val="DefaultParagraphFont"/>
    <w:rsid w:val="009466CE"/>
    <w:rPr>
      <w:u w:val="single"/>
    </w:rPr>
  </w:style>
  <w:style w:type="paragraph" w:customStyle="1" w:styleId="TableBodyTextRight">
    <w:name w:val="Table Body Text Right"/>
    <w:basedOn w:val="TableBodyText"/>
    <w:rsid w:val="00946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6CE"/>
    <w:rPr>
      <w:sz w:val="18"/>
    </w:rPr>
  </w:style>
  <w:style w:type="paragraph" w:customStyle="1" w:styleId="BodySmallRight">
    <w:name w:val="Body Small Right"/>
    <w:basedOn w:val="BodyTextRight"/>
    <w:rsid w:val="009466CE"/>
    <w:rPr>
      <w:sz w:val="18"/>
      <w:szCs w:val="18"/>
    </w:rPr>
  </w:style>
  <w:style w:type="paragraph" w:customStyle="1" w:styleId="MarginEdition">
    <w:name w:val="Margin Edition"/>
    <w:basedOn w:val="MarginNote"/>
    <w:rsid w:val="00946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6CE"/>
    <w:rPr>
      <w:sz w:val="2"/>
      <w:szCs w:val="2"/>
    </w:rPr>
  </w:style>
  <w:style w:type="character" w:customStyle="1" w:styleId="Small">
    <w:name w:val="Small"/>
    <w:basedOn w:val="DefaultParagraphFont"/>
    <w:rsid w:val="009466CE"/>
    <w:rPr>
      <w:sz w:val="16"/>
    </w:rPr>
  </w:style>
  <w:style w:type="paragraph" w:customStyle="1" w:styleId="WideTable">
    <w:name w:val="Wide Table"/>
    <w:basedOn w:val="Normal"/>
    <w:rsid w:val="00946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6CE"/>
  </w:style>
  <w:style w:type="paragraph" w:styleId="Quote">
    <w:name w:val="Quote"/>
    <w:basedOn w:val="Heading1"/>
    <w:link w:val="QuoteChar"/>
    <w:qFormat/>
    <w:rsid w:val="00946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6CE"/>
    <w:pPr>
      <w:pageBreakBefore/>
    </w:pPr>
  </w:style>
  <w:style w:type="paragraph" w:customStyle="1" w:styleId="Border">
    <w:name w:val="Border"/>
    <w:basedOn w:val="Normal"/>
    <w:qFormat/>
    <w:rsid w:val="00946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6CE"/>
    <w:rPr>
      <w:u w:val="single"/>
    </w:rPr>
  </w:style>
  <w:style w:type="character" w:customStyle="1" w:styleId="BoldandItalics">
    <w:name w:val="Bold and Italics"/>
    <w:qFormat/>
    <w:rsid w:val="009466CE"/>
    <w:rPr>
      <w:b/>
      <w:i/>
      <w:u w:val="none"/>
    </w:rPr>
  </w:style>
  <w:style w:type="paragraph" w:styleId="BalloonText">
    <w:name w:val="Balloon Text"/>
    <w:basedOn w:val="Normal"/>
    <w:link w:val="BalloonTextChar"/>
    <w:rsid w:val="00946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6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6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6CE"/>
    <w:pPr>
      <w:spacing w:before="0" w:after="0"/>
    </w:pPr>
  </w:style>
  <w:style w:type="paragraph" w:customStyle="1" w:styleId="BodyTextBold">
    <w:name w:val="Body Text Bold"/>
    <w:basedOn w:val="BodyText"/>
    <w:qFormat/>
    <w:rsid w:val="009466CE"/>
    <w:rPr>
      <w:b/>
    </w:rPr>
  </w:style>
  <w:style w:type="character" w:styleId="Hyperlink">
    <w:name w:val="Hyperlink"/>
    <w:basedOn w:val="DefaultParagraphFont"/>
    <w:uiPriority w:val="99"/>
    <w:unhideWhenUsed/>
    <w:rsid w:val="004C5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2187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FNSFMK612 Manage trading exposures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