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B0A" w:rsidP="00964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FNSFMK525 Analyse clients’ financial risk</w:t>
      </w:r>
      <w:r>
        <w:fldChar w:fldCharType="end"/>
      </w:r>
    </w:p>
    <w:p w:rsidR="00964B0A" w:rsidP="00964B0A">
      <w:pPr>
        <w:pStyle w:val="Version"/>
        <w:sectPr w:rsidSect="00380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D4D" w:rsidP="00380D4D">
      <w:pPr>
        <w:pStyle w:val="SuperHeading"/>
      </w:pPr>
      <w:r w:rsidRPr="00380D4D">
        <w:t>Assessment Requirements for FNSFMK525 Analyse clients</w:t>
      </w:r>
      <w:r>
        <w:t>’</w:t>
      </w:r>
      <w:r w:rsidRPr="00380D4D">
        <w:t xml:space="preserve"> financial risk</w:t>
      </w:r>
    </w:p>
    <w:p w:rsidR="00000000" w:rsidRPr="00380D4D" w:rsidP="00380D4D">
      <w:pPr>
        <w:pStyle w:val="Heading1"/>
      </w:pPr>
      <w:bookmarkStart w:id="1" w:name="O_1131708"/>
      <w:bookmarkEnd w:id="1"/>
      <w:r w:rsidRPr="00380D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0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4D" w:rsidP="00380D4D">
            <w:pPr>
              <w:pStyle w:val="BodyText"/>
            </w:pPr>
            <w:r w:rsidRPr="00380D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4D">
            <w:pPr>
              <w:pStyle w:val="BodyText"/>
              <w:rPr>
                <w:lang w:val="en-NZ"/>
              </w:rPr>
            </w:pPr>
            <w:r w:rsidRPr="00380D4D">
              <w:rPr>
                <w:rStyle w:val="SpecialBold"/>
              </w:rPr>
              <w:t>Comments</w:t>
            </w:r>
          </w:p>
        </w:tc>
      </w:tr>
      <w:tr w:rsidTr="00380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D4D">
            <w:pPr>
              <w:pStyle w:val="BodyText"/>
              <w:rPr>
                <w:lang w:val="en-NZ"/>
              </w:rPr>
            </w:pPr>
            <w:r w:rsidRPr="00380D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D4D" w:rsidP="00380D4D">
            <w:pPr>
              <w:pStyle w:val="BodyText"/>
            </w:pPr>
            <w:r w:rsidRPr="00380D4D">
              <w:t>This version first released with FNS Financial Services Training Package Version 5.0.</w:t>
            </w:r>
          </w:p>
        </w:tc>
      </w:tr>
    </w:tbl>
    <w:p w:rsidR="00000000" w:rsidRPr="00380D4D" w:rsidP="00380D4D">
      <w:pPr>
        <w:pStyle w:val="BodyText"/>
      </w:pPr>
    </w:p>
    <w:p w:rsidR="00000000" w:rsidRPr="00380D4D" w:rsidP="00380D4D">
      <w:pPr>
        <w:pStyle w:val="AllowPageBreak"/>
      </w:pPr>
    </w:p>
    <w:p w:rsidR="00000000" w:rsidRPr="00380D4D" w:rsidP="00380D4D">
      <w:pPr>
        <w:pStyle w:val="Heading1"/>
      </w:pPr>
      <w:bookmarkStart w:id="2" w:name="O_1131711"/>
      <w:bookmarkEnd w:id="2"/>
      <w:r w:rsidRPr="00380D4D">
        <w:t>Performance Evidence</w:t>
      </w:r>
    </w:p>
    <w:p w:rsidR="00000000" w:rsidRPr="00380D4D" w:rsidP="00964B0A">
      <w:pPr>
        <w:pStyle w:val="BodyText"/>
      </w:pPr>
      <w:r w:rsidRPr="00380D4D">
        <w:t>The candidate must demonstrate the ability to complete the tasks outlined in the elements, performance criteria and foundation skills of this unit, including evidence of the ability to:</w:t>
      </w:r>
    </w:p>
    <w:p w:rsidR="00000000" w:rsidRPr="00380D4D" w:rsidP="00380D4D">
      <w:pPr>
        <w:pStyle w:val="ListBullet"/>
      </w:pPr>
      <w:r w:rsidRPr="00380D4D">
        <w:t>analyse the financial risk profile of at least t</w:t>
      </w:r>
      <w:r w:rsidRPr="00380D4D">
        <w:t>wo different clients.</w:t>
      </w:r>
    </w:p>
    <w:p w:rsidR="00000000" w:rsidRPr="00380D4D" w:rsidP="00380D4D">
      <w:pPr>
        <w:pStyle w:val="List"/>
      </w:pPr>
    </w:p>
    <w:p w:rsidR="00000000" w:rsidRPr="00380D4D" w:rsidP="00964B0A">
      <w:pPr>
        <w:pStyle w:val="BodyText"/>
      </w:pPr>
      <w:r w:rsidRPr="00380D4D">
        <w:t>In the course of the above, the candidate must:</w:t>
      </w:r>
    </w:p>
    <w:p w:rsidR="00000000" w:rsidRPr="00380D4D" w:rsidP="00380D4D">
      <w:pPr>
        <w:pStyle w:val="ListBullet"/>
      </w:pPr>
      <w:r w:rsidRPr="00380D4D">
        <w:t>interpret and comply with legislative requirements</w:t>
      </w:r>
    </w:p>
    <w:p w:rsidR="00000000" w:rsidRPr="00380D4D" w:rsidP="00380D4D">
      <w:pPr>
        <w:pStyle w:val="ListBullet"/>
      </w:pPr>
      <w:r w:rsidRPr="00380D4D">
        <w:t>assess the impact of financial risks to each client and recommend strategies to control risk</w:t>
      </w:r>
    </w:p>
    <w:p w:rsidR="00000000" w:rsidRPr="00380D4D" w:rsidP="00380D4D">
      <w:pPr>
        <w:pStyle w:val="ListBullet"/>
      </w:pPr>
      <w:r w:rsidRPr="00380D4D">
        <w:t>review and prepare risk assessmen</w:t>
      </w:r>
      <w:r w:rsidRPr="00380D4D">
        <w:t>t findings.</w:t>
      </w:r>
    </w:p>
    <w:p w:rsidR="00000000" w:rsidRPr="00380D4D" w:rsidP="00380D4D">
      <w:pPr>
        <w:pStyle w:val="AllowPageBreak"/>
      </w:pPr>
    </w:p>
    <w:p w:rsidR="00000000" w:rsidRPr="00380D4D" w:rsidP="00380D4D">
      <w:pPr>
        <w:pStyle w:val="Heading1"/>
      </w:pPr>
      <w:bookmarkStart w:id="3" w:name="O_1131710"/>
      <w:bookmarkEnd w:id="3"/>
      <w:r w:rsidRPr="00380D4D">
        <w:t>Knowledge Evidence</w:t>
      </w:r>
    </w:p>
    <w:p w:rsidR="00000000" w:rsidRPr="00380D4D" w:rsidP="00964B0A">
      <w:pPr>
        <w:pStyle w:val="BodyText"/>
      </w:pPr>
      <w:r w:rsidRPr="00380D4D">
        <w:t>The candidate must be able to demonstrate knowledge to complete the tasks outlined in the elements, performance criteria and foundation skills of this unit, including knowledge of:</w:t>
      </w:r>
    </w:p>
    <w:p w:rsidR="00000000" w:rsidRPr="00380D4D" w:rsidP="00380D4D">
      <w:pPr>
        <w:pStyle w:val="ListBullet"/>
      </w:pPr>
      <w:r w:rsidRPr="00380D4D">
        <w:t>ethics and regulatory re</w:t>
      </w:r>
      <w:r w:rsidRPr="00380D4D">
        <w:t>quirements relating to analysing clients’ financial risk, including:</w:t>
      </w:r>
    </w:p>
    <w:p w:rsidR="00000000" w:rsidRPr="00380D4D" w:rsidP="00380D4D">
      <w:pPr>
        <w:pStyle w:val="ListBullet2"/>
      </w:pPr>
      <w:r w:rsidRPr="00380D4D">
        <w:t>key features of relevant legal principles</w:t>
      </w:r>
    </w:p>
    <w:p w:rsidR="00000000" w:rsidRPr="00380D4D" w:rsidP="00380D4D">
      <w:pPr>
        <w:pStyle w:val="ListBullet2"/>
      </w:pPr>
      <w:r w:rsidRPr="00380D4D">
        <w:t>disclosure and compliance requirements</w:t>
      </w:r>
    </w:p>
    <w:p w:rsidR="00000000" w:rsidRPr="00380D4D" w:rsidP="00380D4D">
      <w:pPr>
        <w:pStyle w:val="ListBullet"/>
      </w:pPr>
      <w:r w:rsidRPr="00380D4D">
        <w:t>organisational policies and procedures for establishing client risk profiles and required reporting</w:t>
      </w:r>
    </w:p>
    <w:p w:rsidR="00000000" w:rsidRPr="00380D4D" w:rsidP="00380D4D">
      <w:pPr>
        <w:pStyle w:val="ListBullet"/>
      </w:pPr>
      <w:r w:rsidRPr="00380D4D">
        <w:t xml:space="preserve">key </w:t>
      </w:r>
      <w:r w:rsidRPr="00380D4D">
        <w:t>principles for managing investment and risk</w:t>
      </w:r>
    </w:p>
    <w:p w:rsidR="00000000" w:rsidRPr="00380D4D" w:rsidP="00380D4D">
      <w:pPr>
        <w:pStyle w:val="ListBullet"/>
      </w:pPr>
      <w:r w:rsidRPr="00380D4D">
        <w:t>financial information sources and products</w:t>
      </w:r>
    </w:p>
    <w:p w:rsidR="00000000" w:rsidRPr="00380D4D" w:rsidP="00380D4D">
      <w:pPr>
        <w:pStyle w:val="ListBullet"/>
      </w:pPr>
      <w:r w:rsidRPr="00380D4D">
        <w:t>client information required for risk profile assessment</w:t>
      </w:r>
    </w:p>
    <w:p w:rsidR="00000000" w:rsidRPr="00380D4D" w:rsidP="00380D4D">
      <w:pPr>
        <w:pStyle w:val="ListBullet"/>
      </w:pPr>
      <w:r w:rsidRPr="00380D4D">
        <w:t>key risk characteristics</w:t>
      </w:r>
    </w:p>
    <w:p w:rsidR="00000000" w:rsidRPr="00380D4D" w:rsidP="00380D4D">
      <w:pPr>
        <w:pStyle w:val="ListBullet"/>
      </w:pPr>
      <w:r w:rsidRPr="00380D4D">
        <w:t>risk assessment criteria and techniques to assess client risk profile and financial product risk</w:t>
      </w:r>
    </w:p>
    <w:p w:rsidR="00000000" w:rsidRPr="00380D4D" w:rsidP="00380D4D">
      <w:pPr>
        <w:pStyle w:val="ListBullet"/>
      </w:pPr>
      <w:r w:rsidRPr="00380D4D">
        <w:t>incidents and factors in economic environment that impact financial performance, including:</w:t>
      </w:r>
    </w:p>
    <w:p w:rsidR="00000000" w:rsidRPr="00380D4D" w:rsidP="00380D4D">
      <w:pPr>
        <w:pStyle w:val="ListBullet2"/>
      </w:pPr>
      <w:r w:rsidRPr="00380D4D">
        <w:t>characteristics and impacts of economic and business cycles</w:t>
      </w:r>
    </w:p>
    <w:p w:rsidR="00000000" w:rsidRPr="00380D4D" w:rsidP="00380D4D">
      <w:pPr>
        <w:pStyle w:val="ListBullet2"/>
      </w:pPr>
      <w:r w:rsidRPr="00380D4D">
        <w:t>govern</w:t>
      </w:r>
      <w:r w:rsidRPr="00380D4D">
        <w:t>ment monetary and fiscal policies</w:t>
      </w:r>
    </w:p>
    <w:p w:rsidR="00000000" w:rsidRPr="00380D4D" w:rsidP="00380D4D">
      <w:pPr>
        <w:pStyle w:val="ListBullet2"/>
      </w:pPr>
      <w:r w:rsidRPr="00380D4D">
        <w:t>interest rates, exchange rates and inflation</w:t>
      </w:r>
    </w:p>
    <w:p w:rsidR="00000000" w:rsidRPr="00380D4D" w:rsidP="00380D4D">
      <w:pPr>
        <w:pStyle w:val="ListBullet"/>
      </w:pPr>
      <w:r w:rsidRPr="00380D4D">
        <w:t>product and strategy sensitivity to conditions, including to:</w:t>
      </w:r>
    </w:p>
    <w:p w:rsidR="00000000" w:rsidRPr="00380D4D" w:rsidP="00380D4D">
      <w:pPr>
        <w:pStyle w:val="ListBullet2"/>
      </w:pPr>
      <w:r w:rsidRPr="00380D4D">
        <w:t>economic cycle</w:t>
      </w:r>
    </w:p>
    <w:p w:rsidR="00000000" w:rsidRPr="00380D4D" w:rsidP="00380D4D">
      <w:pPr>
        <w:pStyle w:val="ListBullet2"/>
      </w:pPr>
      <w:r w:rsidRPr="00380D4D">
        <w:t>supply and demand</w:t>
      </w:r>
    </w:p>
    <w:p w:rsidR="00000000" w:rsidRPr="00380D4D" w:rsidP="00380D4D">
      <w:pPr>
        <w:pStyle w:val="ListBullet2"/>
      </w:pPr>
      <w:r w:rsidRPr="00380D4D">
        <w:t>economic data</w:t>
      </w:r>
    </w:p>
    <w:p w:rsidR="00000000" w:rsidRPr="00380D4D" w:rsidP="00380D4D">
      <w:pPr>
        <w:pStyle w:val="ListBullet2"/>
      </w:pPr>
      <w:r w:rsidRPr="00380D4D">
        <w:t>exchange rates</w:t>
      </w:r>
    </w:p>
    <w:p w:rsidR="00000000" w:rsidRPr="00380D4D" w:rsidP="00380D4D">
      <w:pPr>
        <w:pStyle w:val="ListBullet2"/>
      </w:pPr>
      <w:r w:rsidRPr="00380D4D">
        <w:t>interest rates</w:t>
      </w:r>
    </w:p>
    <w:p w:rsidR="00000000" w:rsidRPr="00380D4D" w:rsidP="00380D4D">
      <w:pPr>
        <w:pStyle w:val="ListBullet2"/>
      </w:pPr>
      <w:r w:rsidRPr="00380D4D">
        <w:t>government and regulatory policy</w:t>
      </w:r>
    </w:p>
    <w:p w:rsidR="00000000" w:rsidRPr="00380D4D" w:rsidP="00380D4D">
      <w:pPr>
        <w:pStyle w:val="ListBullet2"/>
      </w:pPr>
      <w:r w:rsidRPr="00380D4D">
        <w:t>correlation risk with other markets or asset classes</w:t>
      </w:r>
    </w:p>
    <w:p w:rsidR="00000000" w:rsidRPr="00380D4D" w:rsidP="00380D4D">
      <w:pPr>
        <w:pStyle w:val="ListBullet"/>
      </w:pPr>
      <w:r w:rsidRPr="00380D4D">
        <w:t>key theories of investment and risk management.</w:t>
      </w:r>
    </w:p>
    <w:p w:rsidR="00000000" w:rsidRPr="00380D4D" w:rsidP="00380D4D">
      <w:pPr>
        <w:pStyle w:val="AllowPageBreak"/>
      </w:pPr>
    </w:p>
    <w:p w:rsidR="00000000" w:rsidRPr="00380D4D" w:rsidP="00380D4D">
      <w:pPr>
        <w:pStyle w:val="Heading1"/>
      </w:pPr>
      <w:bookmarkStart w:id="4" w:name="O_1131709"/>
      <w:bookmarkEnd w:id="4"/>
      <w:r w:rsidRPr="00380D4D">
        <w:t>Assessment Conditions</w:t>
      </w:r>
    </w:p>
    <w:p w:rsidR="00000000" w:rsidRPr="00380D4D" w:rsidP="00964B0A">
      <w:pPr>
        <w:pStyle w:val="BodyText"/>
      </w:pPr>
      <w:r w:rsidRPr="00380D4D">
        <w:t>Skills in this unit must be demonstrated in a workplace or simulated environment where the conditions are typical</w:t>
      </w:r>
      <w:r w:rsidRPr="00380D4D">
        <w:t xml:space="preserve"> of those in a working environment in this industry.</w:t>
      </w:r>
    </w:p>
    <w:p w:rsidR="00000000" w:rsidRPr="00380D4D" w:rsidP="00964B0A">
      <w:pPr>
        <w:pStyle w:val="BodyText"/>
      </w:pPr>
      <w:r w:rsidRPr="00380D4D">
        <w:t>This includes access to:</w:t>
      </w:r>
    </w:p>
    <w:p w:rsidR="00000000" w:rsidRPr="00380D4D" w:rsidP="00380D4D">
      <w:pPr>
        <w:pStyle w:val="ListBullet"/>
      </w:pPr>
      <w:r w:rsidRPr="00380D4D">
        <w:t>organisational equipment, technology and software</w:t>
      </w:r>
    </w:p>
    <w:p w:rsidR="00000000" w:rsidRPr="00380D4D" w:rsidP="00380D4D">
      <w:pPr>
        <w:pStyle w:val="ListBullet"/>
      </w:pPr>
      <w:r w:rsidRPr="00380D4D">
        <w:t>financial services product information.</w:t>
      </w:r>
    </w:p>
    <w:p w:rsidR="00000000" w:rsidRPr="00380D4D" w:rsidP="00380D4D">
      <w:pPr>
        <w:pStyle w:val="List"/>
      </w:pPr>
    </w:p>
    <w:p w:rsidR="00000000" w:rsidRPr="00380D4D" w:rsidP="00964B0A">
      <w:pPr>
        <w:pStyle w:val="BodyText"/>
      </w:pPr>
      <w:r w:rsidRPr="00380D4D">
        <w:t>Assessors of this unit must satisfy the requirements for assessors in applicable vocat</w:t>
      </w:r>
      <w:r w:rsidRPr="00380D4D">
        <w:t>ional education and training legislation, frameworks and/or standards.</w:t>
      </w:r>
    </w:p>
    <w:p w:rsidR="00000000" w:rsidRPr="00380D4D" w:rsidP="00380D4D">
      <w:pPr>
        <w:pStyle w:val="Heading1"/>
      </w:pPr>
      <w:bookmarkStart w:id="5" w:name="O_1131707"/>
      <w:bookmarkEnd w:id="5"/>
      <w:r w:rsidRPr="00380D4D">
        <w:t>Links</w:t>
      </w:r>
    </w:p>
    <w:p w:rsidR="00000000" w:rsidRPr="00380D4D" w:rsidP="00964B0A">
      <w:pPr>
        <w:pStyle w:val="BodyText"/>
      </w:pPr>
      <w:r w:rsidRPr="00380D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50D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80D4D" w:rsidP="00380D4D"/>
    <w:sectPr w:rsidSect="00380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4D" w:rsidRPr="00964B0A" w:rsidP="00964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0A" w:rsidP="00380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4B0A" w:rsidP="00380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4B0A" w:rsidP="00380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D4D" w:rsidRPr="00964B0A" w:rsidP="00964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0A" w:rsidRPr="002D2AF8" w:rsidP="00380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FNSFMK525 Analyse clients' financial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64B0A" w:rsidP="00380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0F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07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01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D4D"/>
  </w:style>
  <w:style w:type="character" w:customStyle="1" w:styleId="Heading1Char">
    <w:name w:val="Heading 1 Char"/>
    <w:basedOn w:val="DefaultParagraphFont"/>
    <w:link w:val="Heading1"/>
    <w:rsid w:val="00380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D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0D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D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D4D"/>
    <w:rPr>
      <w:b/>
      <w:spacing w:val="0"/>
    </w:rPr>
  </w:style>
  <w:style w:type="paragraph" w:styleId="ListBullet2">
    <w:name w:val="List Bullet 2"/>
    <w:basedOn w:val="List2"/>
    <w:rsid w:val="00380D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D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0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D4D"/>
    <w:rPr>
      <w:i/>
    </w:rPr>
  </w:style>
  <w:style w:type="paragraph" w:styleId="Caption">
    <w:name w:val="caption"/>
    <w:basedOn w:val="BodyText"/>
    <w:next w:val="Normal"/>
    <w:qFormat/>
    <w:rsid w:val="00380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D4D"/>
  </w:style>
  <w:style w:type="paragraph" w:styleId="TableofFigures">
    <w:name w:val="table of figures"/>
    <w:basedOn w:val="Normal"/>
    <w:next w:val="Normal"/>
    <w:semiHidden/>
    <w:rsid w:val="00380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D4D"/>
    <w:rPr>
      <w:rFonts w:ascii="Wingdings" w:hAnsi="Wingdings"/>
    </w:rPr>
  </w:style>
  <w:style w:type="paragraph" w:customStyle="1" w:styleId="TableHeading">
    <w:name w:val="Table Heading"/>
    <w:basedOn w:val="HeadingBase"/>
    <w:rsid w:val="00380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D4D"/>
    <w:rPr>
      <w:color w:val="0033CC"/>
      <w:u w:val="none"/>
    </w:rPr>
  </w:style>
  <w:style w:type="paragraph" w:customStyle="1" w:styleId="BodyTextRight">
    <w:name w:val="Body Text Right"/>
    <w:basedOn w:val="BodyText"/>
    <w:rsid w:val="00380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D4D"/>
    <w:rPr>
      <w:sz w:val="32"/>
    </w:rPr>
  </w:style>
  <w:style w:type="paragraph" w:customStyle="1" w:styleId="HeadingProcedure">
    <w:name w:val="Heading Procedure"/>
    <w:basedOn w:val="HeadingBase"/>
    <w:next w:val="Normal"/>
    <w:rsid w:val="00380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D4D"/>
    <w:pPr>
      <w:spacing w:before="60" w:after="60"/>
    </w:pPr>
  </w:style>
  <w:style w:type="paragraph" w:styleId="ListContinue">
    <w:name w:val="List Continue"/>
    <w:basedOn w:val="List"/>
    <w:rsid w:val="00380D4D"/>
    <w:pPr>
      <w:ind w:firstLine="0"/>
    </w:pPr>
  </w:style>
  <w:style w:type="paragraph" w:customStyle="1" w:styleId="ListNote">
    <w:name w:val="List Note"/>
    <w:basedOn w:val="List"/>
    <w:rsid w:val="00380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D4D"/>
    <w:rPr>
      <w:rFonts w:ascii="Courier New" w:hAnsi="Courier New"/>
    </w:rPr>
  </w:style>
  <w:style w:type="paragraph" w:customStyle="1" w:styleId="NoteBullet">
    <w:name w:val="Note Bullet"/>
    <w:basedOn w:val="Note"/>
    <w:rsid w:val="00380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D4D"/>
    <w:rPr>
      <w:b/>
      <w:smallCaps/>
    </w:rPr>
  </w:style>
  <w:style w:type="paragraph" w:customStyle="1" w:styleId="TableListNumber">
    <w:name w:val="Table List Number"/>
    <w:basedOn w:val="ListNumber"/>
    <w:rsid w:val="00380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D4D"/>
    <w:pPr>
      <w:numPr>
        <w:numId w:val="9"/>
      </w:numPr>
    </w:pPr>
  </w:style>
  <w:style w:type="paragraph" w:customStyle="1" w:styleId="ListAlpha2">
    <w:name w:val="List Alpha 2"/>
    <w:basedOn w:val="List2"/>
    <w:rsid w:val="00380D4D"/>
    <w:pPr>
      <w:numPr>
        <w:numId w:val="8"/>
      </w:numPr>
    </w:pPr>
  </w:style>
  <w:style w:type="paragraph" w:styleId="List2">
    <w:name w:val="List 2"/>
    <w:basedOn w:val="BodyText"/>
    <w:rsid w:val="00380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D4D"/>
    <w:pPr>
      <w:numPr>
        <w:numId w:val="4"/>
      </w:numPr>
    </w:pPr>
  </w:style>
  <w:style w:type="paragraph" w:styleId="ListContinue2">
    <w:name w:val="List Continue 2"/>
    <w:basedOn w:val="List2"/>
    <w:rsid w:val="00380D4D"/>
    <w:pPr>
      <w:ind w:firstLine="0"/>
    </w:pPr>
  </w:style>
  <w:style w:type="paragraph" w:styleId="ListContinue3">
    <w:name w:val="List Continue 3"/>
    <w:basedOn w:val="List3"/>
    <w:rsid w:val="00380D4D"/>
    <w:pPr>
      <w:ind w:left="1021" w:firstLine="0"/>
    </w:pPr>
  </w:style>
  <w:style w:type="paragraph" w:styleId="ListContinue4">
    <w:name w:val="List Continue 4"/>
    <w:basedOn w:val="List4"/>
    <w:rsid w:val="00380D4D"/>
    <w:pPr>
      <w:ind w:firstLine="0"/>
    </w:pPr>
  </w:style>
  <w:style w:type="paragraph" w:styleId="ListContinue5">
    <w:name w:val="List Continue 5"/>
    <w:basedOn w:val="List5"/>
    <w:rsid w:val="00380D4D"/>
    <w:pPr>
      <w:ind w:firstLine="0"/>
    </w:pPr>
  </w:style>
  <w:style w:type="paragraph" w:styleId="ListNumber3">
    <w:name w:val="List Number 3"/>
    <w:basedOn w:val="List3"/>
    <w:rsid w:val="00380D4D"/>
    <w:pPr>
      <w:numPr>
        <w:numId w:val="5"/>
      </w:numPr>
    </w:pPr>
  </w:style>
  <w:style w:type="paragraph" w:styleId="ListNumber4">
    <w:name w:val="List Number 4"/>
    <w:basedOn w:val="List4"/>
    <w:rsid w:val="00380D4D"/>
    <w:pPr>
      <w:numPr>
        <w:numId w:val="6"/>
      </w:numPr>
    </w:pPr>
  </w:style>
  <w:style w:type="paragraph" w:styleId="ListNumber5">
    <w:name w:val="List Number 5"/>
    <w:basedOn w:val="List5"/>
    <w:rsid w:val="00380D4D"/>
    <w:pPr>
      <w:numPr>
        <w:numId w:val="7"/>
      </w:numPr>
    </w:pPr>
  </w:style>
  <w:style w:type="paragraph" w:styleId="BlockText">
    <w:name w:val="Block Text"/>
    <w:basedOn w:val="Normal"/>
    <w:rsid w:val="00380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D4D"/>
    <w:rPr>
      <w:sz w:val="16"/>
      <w:vertAlign w:val="superscript"/>
    </w:rPr>
  </w:style>
  <w:style w:type="character" w:customStyle="1" w:styleId="Symbols">
    <w:name w:val="Symbols"/>
    <w:basedOn w:val="DefaultParagraphFont"/>
    <w:rsid w:val="00380D4D"/>
    <w:rPr>
      <w:rFonts w:ascii="Symbol" w:hAnsi="Symbol"/>
    </w:rPr>
  </w:style>
  <w:style w:type="character" w:customStyle="1" w:styleId="MenuOptions">
    <w:name w:val="Menu Options"/>
    <w:basedOn w:val="DefaultParagraphFont"/>
    <w:rsid w:val="00380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D4D"/>
    <w:rPr>
      <w:b/>
    </w:rPr>
  </w:style>
  <w:style w:type="character" w:customStyle="1" w:styleId="Underlined">
    <w:name w:val="Underlined"/>
    <w:basedOn w:val="DefaultParagraphFont"/>
    <w:rsid w:val="00380D4D"/>
    <w:rPr>
      <w:u w:val="single"/>
    </w:rPr>
  </w:style>
  <w:style w:type="paragraph" w:customStyle="1" w:styleId="TableBodyTextRight">
    <w:name w:val="Table Body Text Right"/>
    <w:basedOn w:val="TableBodyText"/>
    <w:rsid w:val="00380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D4D"/>
    <w:rPr>
      <w:sz w:val="18"/>
    </w:rPr>
  </w:style>
  <w:style w:type="paragraph" w:customStyle="1" w:styleId="BodySmallRight">
    <w:name w:val="Body Small Right"/>
    <w:basedOn w:val="BodyTextRight"/>
    <w:rsid w:val="00380D4D"/>
    <w:rPr>
      <w:sz w:val="18"/>
      <w:szCs w:val="18"/>
    </w:rPr>
  </w:style>
  <w:style w:type="paragraph" w:customStyle="1" w:styleId="MarginEdition">
    <w:name w:val="Margin Edition"/>
    <w:basedOn w:val="MarginNote"/>
    <w:rsid w:val="00380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D4D"/>
    <w:rPr>
      <w:sz w:val="2"/>
      <w:szCs w:val="2"/>
    </w:rPr>
  </w:style>
  <w:style w:type="character" w:customStyle="1" w:styleId="Small">
    <w:name w:val="Small"/>
    <w:basedOn w:val="DefaultParagraphFont"/>
    <w:rsid w:val="00380D4D"/>
    <w:rPr>
      <w:sz w:val="16"/>
    </w:rPr>
  </w:style>
  <w:style w:type="paragraph" w:customStyle="1" w:styleId="WideTable">
    <w:name w:val="Wide Table"/>
    <w:basedOn w:val="Normal"/>
    <w:rsid w:val="00380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D4D"/>
  </w:style>
  <w:style w:type="paragraph" w:styleId="Quote">
    <w:name w:val="Quote"/>
    <w:basedOn w:val="Heading1"/>
    <w:link w:val="QuoteChar"/>
    <w:qFormat/>
    <w:rsid w:val="00380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D4D"/>
    <w:pPr>
      <w:pageBreakBefore/>
    </w:pPr>
  </w:style>
  <w:style w:type="paragraph" w:customStyle="1" w:styleId="Border">
    <w:name w:val="Border"/>
    <w:basedOn w:val="Normal"/>
    <w:qFormat/>
    <w:rsid w:val="00380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D4D"/>
    <w:rPr>
      <w:u w:val="single"/>
    </w:rPr>
  </w:style>
  <w:style w:type="character" w:customStyle="1" w:styleId="BoldandItalics">
    <w:name w:val="Bold and Italics"/>
    <w:qFormat/>
    <w:rsid w:val="00380D4D"/>
    <w:rPr>
      <w:b/>
      <w:i/>
      <w:u w:val="none"/>
    </w:rPr>
  </w:style>
  <w:style w:type="paragraph" w:styleId="BalloonText">
    <w:name w:val="Balloon Text"/>
    <w:basedOn w:val="Normal"/>
    <w:link w:val="BalloonTextChar"/>
    <w:rsid w:val="00380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D4D"/>
    <w:pPr>
      <w:spacing w:before="0" w:after="0"/>
    </w:pPr>
  </w:style>
  <w:style w:type="paragraph" w:customStyle="1" w:styleId="BodyTextBold">
    <w:name w:val="Body Text Bold"/>
    <w:basedOn w:val="BodyText"/>
    <w:qFormat/>
    <w:rsid w:val="00380D4D"/>
    <w:rPr>
      <w:b/>
    </w:rPr>
  </w:style>
  <w:style w:type="character" w:styleId="Hyperlink">
    <w:name w:val="Hyperlink"/>
    <w:basedOn w:val="DefaultParagraphFont"/>
    <w:uiPriority w:val="99"/>
    <w:unhideWhenUsed/>
    <w:rsid w:val="00964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2470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FNSFMK525 Analyse clients' financial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