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B9C" w:rsidP="00D70B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FNSFMK518 Monitor and process collateral</w:t>
      </w:r>
      <w:r>
        <w:fldChar w:fldCharType="end"/>
      </w:r>
    </w:p>
    <w:p w:rsidR="00D70B9C" w:rsidP="00D70B9C">
      <w:pPr>
        <w:pStyle w:val="Version"/>
        <w:sectPr w:rsidSect="00B72C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C4C" w:rsidP="00B72C4C">
      <w:pPr>
        <w:pStyle w:val="SuperHeading"/>
      </w:pPr>
      <w:r w:rsidRPr="00B72C4C">
        <w:t>Assessment Requirements for FNSFMK518 Monitor and process collateral</w:t>
      </w:r>
    </w:p>
    <w:p w:rsidR="00000000" w:rsidRPr="00B72C4C" w:rsidP="00B72C4C">
      <w:pPr>
        <w:pStyle w:val="Heading1"/>
      </w:pPr>
      <w:bookmarkStart w:id="1" w:name="O_1074930"/>
      <w:bookmarkEnd w:id="1"/>
      <w:r w:rsidRPr="00B72C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72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C4C" w:rsidP="00B72C4C">
            <w:pPr>
              <w:pStyle w:val="BodyText"/>
            </w:pPr>
            <w:r w:rsidRPr="00B72C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4C">
            <w:pPr>
              <w:pStyle w:val="BodyText"/>
              <w:rPr>
                <w:lang w:val="en-NZ"/>
              </w:rPr>
            </w:pPr>
            <w:r w:rsidRPr="00B72C4C">
              <w:rPr>
                <w:rStyle w:val="SpecialBold"/>
              </w:rPr>
              <w:t>Comments</w:t>
            </w:r>
          </w:p>
        </w:tc>
      </w:tr>
      <w:tr w:rsidTr="00B72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4C">
            <w:pPr>
              <w:pStyle w:val="BodyText"/>
              <w:rPr>
                <w:lang w:val="en-NZ"/>
              </w:rPr>
            </w:pPr>
            <w:r w:rsidRPr="00B72C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C4C" w:rsidP="00B72C4C">
            <w:pPr>
              <w:pStyle w:val="BodyText"/>
            </w:pPr>
            <w:r w:rsidRPr="00B72C4C">
              <w:t>This version first released with FNS Financial Services Training Package Version 4.0.</w:t>
            </w:r>
          </w:p>
        </w:tc>
      </w:tr>
    </w:tbl>
    <w:p w:rsidR="00000000" w:rsidRPr="00B72C4C" w:rsidP="00B72C4C">
      <w:pPr>
        <w:pStyle w:val="BodyText"/>
      </w:pPr>
    </w:p>
    <w:p w:rsidR="00000000" w:rsidRPr="00B72C4C" w:rsidP="00B72C4C">
      <w:pPr>
        <w:pStyle w:val="AllowPageBreak"/>
      </w:pPr>
    </w:p>
    <w:p w:rsidR="00000000" w:rsidRPr="00B72C4C" w:rsidP="00B72C4C">
      <w:pPr>
        <w:pStyle w:val="Heading1"/>
      </w:pPr>
      <w:bookmarkStart w:id="2" w:name="O_1074933"/>
      <w:bookmarkEnd w:id="2"/>
      <w:r w:rsidRPr="00B72C4C">
        <w:t>Performance Evidence</w:t>
      </w:r>
    </w:p>
    <w:p w:rsidR="00000000" w:rsidRPr="00B72C4C" w:rsidP="00D70B9C">
      <w:pPr>
        <w:pStyle w:val="BodyText"/>
      </w:pPr>
      <w:r w:rsidRPr="00B72C4C">
        <w:t>The candidate must demonstrate the ability to complete the tasks outlined in the elements, performance criteria and foundation skills of this unit, including evidence of the ability to:</w:t>
      </w:r>
    </w:p>
    <w:p w:rsidR="00000000" w:rsidRPr="00B72C4C" w:rsidP="00B72C4C">
      <w:pPr>
        <w:pStyle w:val="ListBullet"/>
      </w:pPr>
      <w:r w:rsidRPr="00B72C4C">
        <w:t>manage at least one collateral dispute with a co</w:t>
      </w:r>
      <w:r w:rsidRPr="00B72C4C">
        <w:t>unterparty, including:</w:t>
      </w:r>
    </w:p>
    <w:p w:rsidR="00000000" w:rsidRPr="00B72C4C" w:rsidP="00B72C4C">
      <w:pPr>
        <w:pStyle w:val="ListBullet2"/>
      </w:pPr>
      <w:r w:rsidRPr="00B72C4C">
        <w:t>investigating differences in valuations by checking the calculation methodology</w:t>
      </w:r>
    </w:p>
    <w:p w:rsidR="00000000" w:rsidRPr="00B72C4C" w:rsidP="00B72C4C">
      <w:pPr>
        <w:pStyle w:val="ListBullet2"/>
      </w:pPr>
      <w:r w:rsidRPr="00B72C4C">
        <w:t>escalating and documenting unresolved disputes as specified by organisational procedures</w:t>
      </w:r>
    </w:p>
    <w:p w:rsidR="00000000" w:rsidRPr="00B72C4C" w:rsidP="00B72C4C">
      <w:pPr>
        <w:pStyle w:val="ListBullet2"/>
      </w:pPr>
      <w:r w:rsidRPr="00B72C4C">
        <w:t>assessing collateral documentation to ensure compliance with operational and regulatory requirements</w:t>
      </w:r>
    </w:p>
    <w:p w:rsidR="00000000" w:rsidRPr="00B72C4C" w:rsidP="00B72C4C">
      <w:pPr>
        <w:pStyle w:val="ListBullet2"/>
      </w:pPr>
      <w:r w:rsidRPr="00B72C4C">
        <w:t xml:space="preserve">accessing systems to monitor collateral activity, and determine adjustments in financial positions </w:t>
      </w:r>
    </w:p>
    <w:p w:rsidR="00000000" w:rsidRPr="00B72C4C" w:rsidP="00B72C4C">
      <w:pPr>
        <w:pStyle w:val="ListBullet2"/>
      </w:pPr>
      <w:r w:rsidRPr="00B72C4C">
        <w:t>complying with organisational requirements and industry</w:t>
      </w:r>
      <w:r w:rsidRPr="00B72C4C">
        <w:t xml:space="preserve"> codes of practice.</w:t>
      </w:r>
    </w:p>
    <w:p w:rsidR="00000000" w:rsidRPr="00B72C4C" w:rsidP="00B72C4C">
      <w:pPr>
        <w:pStyle w:val="AllowPageBreak"/>
      </w:pPr>
    </w:p>
    <w:p w:rsidR="00000000" w:rsidRPr="00B72C4C" w:rsidP="00B72C4C">
      <w:pPr>
        <w:pStyle w:val="Heading1"/>
      </w:pPr>
      <w:bookmarkStart w:id="3" w:name="O_1074932"/>
      <w:bookmarkEnd w:id="3"/>
      <w:r w:rsidRPr="00B72C4C">
        <w:t>Knowledge Evidence</w:t>
      </w:r>
    </w:p>
    <w:p w:rsidR="00000000" w:rsidRPr="00B72C4C" w:rsidP="00D70B9C">
      <w:pPr>
        <w:pStyle w:val="BodyText"/>
      </w:pPr>
      <w:r w:rsidRPr="00B72C4C">
        <w:t>The candidate must be able to demonstrate knowledge to complete the tasks outlined in the elements, performance criteria and foundation skills of this unit, including knowledge of:</w:t>
      </w:r>
    </w:p>
    <w:p w:rsidR="00000000" w:rsidRPr="00B72C4C" w:rsidP="00B72C4C">
      <w:pPr>
        <w:pStyle w:val="ListBullet"/>
      </w:pPr>
      <w:r w:rsidRPr="00B72C4C">
        <w:t>relevant financi</w:t>
      </w:r>
      <w:r w:rsidRPr="00B72C4C">
        <w:t>al products</w:t>
      </w:r>
    </w:p>
    <w:p w:rsidR="00000000" w:rsidRPr="00B72C4C" w:rsidP="00B72C4C">
      <w:pPr>
        <w:pStyle w:val="ListBullet"/>
      </w:pPr>
      <w:r w:rsidRPr="00B72C4C">
        <w:t>purpose and key features of collateral agreements</w:t>
      </w:r>
    </w:p>
    <w:p w:rsidR="00000000" w:rsidRPr="00B72C4C" w:rsidP="00B72C4C">
      <w:pPr>
        <w:pStyle w:val="ListBullet"/>
      </w:pPr>
      <w:r w:rsidRPr="00B72C4C">
        <w:t>market and regulatory factors which impact collateral</w:t>
      </w:r>
    </w:p>
    <w:p w:rsidR="00000000" w:rsidRPr="00B72C4C" w:rsidP="00B72C4C">
      <w:pPr>
        <w:pStyle w:val="ListBullet"/>
      </w:pPr>
      <w:r w:rsidRPr="00B72C4C">
        <w:t>systems to monitor collateral activity</w:t>
      </w:r>
    </w:p>
    <w:p w:rsidR="00000000" w:rsidRPr="00B72C4C" w:rsidP="00B72C4C">
      <w:pPr>
        <w:pStyle w:val="ListBullet"/>
      </w:pPr>
      <w:r w:rsidRPr="00B72C4C">
        <w:t>legal and organisational requirements for collateral agreements</w:t>
      </w:r>
    </w:p>
    <w:p w:rsidR="00000000" w:rsidRPr="00B72C4C" w:rsidP="00B72C4C">
      <w:pPr>
        <w:pStyle w:val="ListBullet"/>
      </w:pPr>
      <w:r w:rsidRPr="00B72C4C">
        <w:t>industry codes of practice and organi</w:t>
      </w:r>
      <w:r w:rsidRPr="00B72C4C">
        <w:t>sational processes for managing collateral disputes and defaults.</w:t>
      </w:r>
    </w:p>
    <w:p w:rsidR="00000000" w:rsidRPr="00B72C4C" w:rsidP="00B72C4C">
      <w:pPr>
        <w:pStyle w:val="AllowPageBreak"/>
      </w:pPr>
    </w:p>
    <w:p w:rsidR="00000000" w:rsidRPr="00B72C4C" w:rsidP="00B72C4C">
      <w:pPr>
        <w:pStyle w:val="Heading1"/>
      </w:pPr>
      <w:bookmarkStart w:id="4" w:name="O_1074931"/>
      <w:bookmarkEnd w:id="4"/>
      <w:r w:rsidRPr="00B72C4C">
        <w:t>Assessment Conditions</w:t>
      </w:r>
    </w:p>
    <w:p w:rsidR="00000000" w:rsidRPr="00B72C4C" w:rsidP="00D70B9C">
      <w:pPr>
        <w:pStyle w:val="BodyText"/>
      </w:pPr>
      <w:r w:rsidRPr="00B72C4C">
        <w:t>Sk</w:t>
      </w:r>
      <w:r w:rsidRPr="00B72C4C">
        <w:t>ills in this unit must be demonstrated in a workplace or simulated environment where the conditions are typical of those in a working environment in this industry.</w:t>
      </w:r>
    </w:p>
    <w:p w:rsidR="00000000" w:rsidRPr="00B72C4C" w:rsidP="00D70B9C">
      <w:pPr>
        <w:pStyle w:val="BodyText"/>
      </w:pPr>
      <w:r w:rsidRPr="00B72C4C">
        <w:t>This includes access to:</w:t>
      </w:r>
    </w:p>
    <w:p w:rsidR="00000000" w:rsidRPr="00B72C4C" w:rsidP="00B72C4C">
      <w:pPr>
        <w:pStyle w:val="ListBullet"/>
      </w:pPr>
      <w:r w:rsidRPr="00B72C4C">
        <w:t>office equipment, technology, software systems and consumables req</w:t>
      </w:r>
      <w:r w:rsidRPr="00B72C4C">
        <w:t>uired to produce the performance evidence</w:t>
      </w:r>
    </w:p>
    <w:p w:rsidR="00000000" w:rsidRPr="00B72C4C" w:rsidP="00B72C4C">
      <w:pPr>
        <w:pStyle w:val="ListBullet"/>
      </w:pPr>
      <w:r w:rsidRPr="00B72C4C">
        <w:t>an integrated financial software system and data required to produce the performance evidence.</w:t>
      </w:r>
    </w:p>
    <w:p w:rsidR="00000000" w:rsidRPr="00B72C4C" w:rsidP="00B72C4C">
      <w:pPr>
        <w:pStyle w:val="BodyText"/>
      </w:pPr>
    </w:p>
    <w:p w:rsidR="00000000" w:rsidRPr="00B72C4C" w:rsidP="00D70B9C">
      <w:pPr>
        <w:pStyle w:val="BodyText"/>
      </w:pPr>
      <w:r w:rsidRPr="00B72C4C">
        <w:t>Assessors of this unit must satisfy the requirements for assessors in applicable vocational education and training leg</w:t>
      </w:r>
      <w:r w:rsidRPr="00B72C4C">
        <w:t>islation, frameworks and/or standards.</w:t>
      </w:r>
    </w:p>
    <w:p w:rsidR="00000000" w:rsidRPr="00B72C4C" w:rsidP="00B72C4C">
      <w:pPr>
        <w:pStyle w:val="Heading1"/>
      </w:pPr>
      <w:bookmarkStart w:id="5" w:name="O_1074929"/>
      <w:bookmarkEnd w:id="5"/>
      <w:r w:rsidRPr="00B72C4C">
        <w:t>Links</w:t>
      </w:r>
    </w:p>
    <w:p w:rsidR="00000000" w:rsidRPr="00B72C4C" w:rsidP="00D70B9C">
      <w:pPr>
        <w:pStyle w:val="BodyText"/>
      </w:pPr>
      <w:r w:rsidRPr="00B72C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6494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72C4C" w:rsidP="00B72C4C"/>
    <w:sectPr w:rsidSect="00B72C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4C" w:rsidRPr="00D70B9C" w:rsidP="00D70B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B9C" w:rsidP="00B72C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0B9C" w:rsidP="00B72C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0B9C" w:rsidP="00B72C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B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C4C" w:rsidRPr="00D70B9C" w:rsidP="00D70B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B9C" w:rsidRPr="002D2AF8" w:rsidP="00B72C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FNSFMK518 Monitor and process collateral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70B9C" w:rsidP="00B72C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ECDB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9CC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C2AE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C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C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C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C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C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C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C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C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C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C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C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C4C"/>
  </w:style>
  <w:style w:type="character" w:customStyle="1" w:styleId="Heading1Char">
    <w:name w:val="Heading 1 Char"/>
    <w:basedOn w:val="DefaultParagraphFont"/>
    <w:link w:val="Heading1"/>
    <w:rsid w:val="00B72C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C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C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C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C4C"/>
    <w:rPr>
      <w:b/>
      <w:spacing w:val="0"/>
    </w:rPr>
  </w:style>
  <w:style w:type="paragraph" w:styleId="ListBullet2">
    <w:name w:val="List Bullet 2"/>
    <w:basedOn w:val="List2"/>
    <w:rsid w:val="00B72C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2C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C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C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C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C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C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C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C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C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C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C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C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C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C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C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C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C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C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C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C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C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2C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C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C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C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C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C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C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C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C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C4C"/>
    <w:rPr>
      <w:i/>
    </w:rPr>
  </w:style>
  <w:style w:type="paragraph" w:styleId="Caption">
    <w:name w:val="caption"/>
    <w:basedOn w:val="BodyText"/>
    <w:next w:val="Normal"/>
    <w:qFormat/>
    <w:rsid w:val="00B72C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C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C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C4C"/>
  </w:style>
  <w:style w:type="paragraph" w:styleId="TableofFigures">
    <w:name w:val="table of figures"/>
    <w:basedOn w:val="Normal"/>
    <w:next w:val="Normal"/>
    <w:semiHidden/>
    <w:rsid w:val="00B72C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C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2C4C"/>
    <w:rPr>
      <w:rFonts w:ascii="Wingdings" w:hAnsi="Wingdings"/>
    </w:rPr>
  </w:style>
  <w:style w:type="paragraph" w:customStyle="1" w:styleId="TableHeading">
    <w:name w:val="Table Heading"/>
    <w:basedOn w:val="HeadingBase"/>
    <w:rsid w:val="00B72C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C4C"/>
    <w:rPr>
      <w:color w:val="0033CC"/>
      <w:u w:val="none"/>
    </w:rPr>
  </w:style>
  <w:style w:type="paragraph" w:customStyle="1" w:styleId="BodyTextRight">
    <w:name w:val="Body Text Right"/>
    <w:basedOn w:val="BodyText"/>
    <w:rsid w:val="00B72C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C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C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C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C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C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C4C"/>
    <w:rPr>
      <w:sz w:val="32"/>
    </w:rPr>
  </w:style>
  <w:style w:type="paragraph" w:customStyle="1" w:styleId="HeadingProcedure">
    <w:name w:val="Heading Procedure"/>
    <w:basedOn w:val="HeadingBase"/>
    <w:next w:val="Normal"/>
    <w:rsid w:val="00B72C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C4C"/>
    <w:pPr>
      <w:spacing w:before="60" w:after="60"/>
    </w:pPr>
  </w:style>
  <w:style w:type="paragraph" w:styleId="ListContinue">
    <w:name w:val="List Continue"/>
    <w:basedOn w:val="List"/>
    <w:rsid w:val="00B72C4C"/>
    <w:pPr>
      <w:ind w:firstLine="0"/>
    </w:pPr>
  </w:style>
  <w:style w:type="paragraph" w:customStyle="1" w:styleId="ListNote">
    <w:name w:val="List Note"/>
    <w:basedOn w:val="List"/>
    <w:rsid w:val="00B72C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C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C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C4C"/>
    <w:rPr>
      <w:rFonts w:ascii="Courier New" w:hAnsi="Courier New"/>
    </w:rPr>
  </w:style>
  <w:style w:type="paragraph" w:customStyle="1" w:styleId="NoteBullet">
    <w:name w:val="Note Bullet"/>
    <w:basedOn w:val="Note"/>
    <w:rsid w:val="00B72C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C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C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C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C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2C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C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C4C"/>
    <w:rPr>
      <w:b/>
      <w:smallCaps/>
    </w:rPr>
  </w:style>
  <w:style w:type="paragraph" w:customStyle="1" w:styleId="TableListNumber">
    <w:name w:val="Table List Number"/>
    <w:basedOn w:val="ListNumber"/>
    <w:rsid w:val="00B72C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C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C4C"/>
    <w:pPr>
      <w:numPr>
        <w:numId w:val="9"/>
      </w:numPr>
    </w:pPr>
  </w:style>
  <w:style w:type="paragraph" w:customStyle="1" w:styleId="ListAlpha2">
    <w:name w:val="List Alpha 2"/>
    <w:basedOn w:val="List2"/>
    <w:rsid w:val="00B72C4C"/>
    <w:pPr>
      <w:numPr>
        <w:numId w:val="8"/>
      </w:numPr>
    </w:pPr>
  </w:style>
  <w:style w:type="paragraph" w:styleId="List2">
    <w:name w:val="List 2"/>
    <w:basedOn w:val="BodyText"/>
    <w:rsid w:val="00B72C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C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C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C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C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C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2C4C"/>
    <w:pPr>
      <w:numPr>
        <w:numId w:val="4"/>
      </w:numPr>
    </w:pPr>
  </w:style>
  <w:style w:type="paragraph" w:styleId="ListContinue2">
    <w:name w:val="List Continue 2"/>
    <w:basedOn w:val="List2"/>
    <w:rsid w:val="00B72C4C"/>
    <w:pPr>
      <w:ind w:firstLine="0"/>
    </w:pPr>
  </w:style>
  <w:style w:type="paragraph" w:styleId="ListContinue3">
    <w:name w:val="List Continue 3"/>
    <w:basedOn w:val="List3"/>
    <w:rsid w:val="00B72C4C"/>
    <w:pPr>
      <w:ind w:left="1021" w:firstLine="0"/>
    </w:pPr>
  </w:style>
  <w:style w:type="paragraph" w:styleId="ListContinue4">
    <w:name w:val="List Continue 4"/>
    <w:basedOn w:val="List4"/>
    <w:rsid w:val="00B72C4C"/>
    <w:pPr>
      <w:ind w:firstLine="0"/>
    </w:pPr>
  </w:style>
  <w:style w:type="paragraph" w:styleId="ListContinue5">
    <w:name w:val="List Continue 5"/>
    <w:basedOn w:val="List5"/>
    <w:rsid w:val="00B72C4C"/>
    <w:pPr>
      <w:ind w:firstLine="0"/>
    </w:pPr>
  </w:style>
  <w:style w:type="paragraph" w:styleId="ListNumber3">
    <w:name w:val="List Number 3"/>
    <w:basedOn w:val="List3"/>
    <w:rsid w:val="00B72C4C"/>
    <w:pPr>
      <w:numPr>
        <w:numId w:val="5"/>
      </w:numPr>
    </w:pPr>
  </w:style>
  <w:style w:type="paragraph" w:styleId="ListNumber4">
    <w:name w:val="List Number 4"/>
    <w:basedOn w:val="List4"/>
    <w:rsid w:val="00B72C4C"/>
    <w:pPr>
      <w:numPr>
        <w:numId w:val="6"/>
      </w:numPr>
    </w:pPr>
  </w:style>
  <w:style w:type="paragraph" w:styleId="ListNumber5">
    <w:name w:val="List Number 5"/>
    <w:basedOn w:val="List5"/>
    <w:rsid w:val="00B72C4C"/>
    <w:pPr>
      <w:numPr>
        <w:numId w:val="7"/>
      </w:numPr>
    </w:pPr>
  </w:style>
  <w:style w:type="paragraph" w:styleId="BlockText">
    <w:name w:val="Block Text"/>
    <w:basedOn w:val="Normal"/>
    <w:rsid w:val="00B72C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C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C4C"/>
    <w:rPr>
      <w:sz w:val="16"/>
      <w:vertAlign w:val="superscript"/>
    </w:rPr>
  </w:style>
  <w:style w:type="character" w:customStyle="1" w:styleId="Symbols">
    <w:name w:val="Symbols"/>
    <w:basedOn w:val="DefaultParagraphFont"/>
    <w:rsid w:val="00B72C4C"/>
    <w:rPr>
      <w:rFonts w:ascii="Symbol" w:hAnsi="Symbol"/>
    </w:rPr>
  </w:style>
  <w:style w:type="character" w:customStyle="1" w:styleId="MenuOptions">
    <w:name w:val="Menu Options"/>
    <w:basedOn w:val="DefaultParagraphFont"/>
    <w:rsid w:val="00B72C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C4C"/>
    <w:rPr>
      <w:b/>
    </w:rPr>
  </w:style>
  <w:style w:type="character" w:customStyle="1" w:styleId="Underlined">
    <w:name w:val="Underlined"/>
    <w:basedOn w:val="DefaultParagraphFont"/>
    <w:rsid w:val="00B72C4C"/>
    <w:rPr>
      <w:u w:val="single"/>
    </w:rPr>
  </w:style>
  <w:style w:type="paragraph" w:customStyle="1" w:styleId="TableBodyTextRight">
    <w:name w:val="Table Body Text Right"/>
    <w:basedOn w:val="TableBodyText"/>
    <w:rsid w:val="00B72C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C4C"/>
    <w:rPr>
      <w:sz w:val="18"/>
    </w:rPr>
  </w:style>
  <w:style w:type="paragraph" w:customStyle="1" w:styleId="BodySmallRight">
    <w:name w:val="Body Small Right"/>
    <w:basedOn w:val="BodyTextRight"/>
    <w:rsid w:val="00B72C4C"/>
    <w:rPr>
      <w:sz w:val="18"/>
      <w:szCs w:val="18"/>
    </w:rPr>
  </w:style>
  <w:style w:type="paragraph" w:customStyle="1" w:styleId="MarginEdition">
    <w:name w:val="Margin Edition"/>
    <w:basedOn w:val="MarginNote"/>
    <w:rsid w:val="00B72C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C4C"/>
    <w:rPr>
      <w:sz w:val="2"/>
      <w:szCs w:val="2"/>
    </w:rPr>
  </w:style>
  <w:style w:type="character" w:customStyle="1" w:styleId="Small">
    <w:name w:val="Small"/>
    <w:basedOn w:val="DefaultParagraphFont"/>
    <w:rsid w:val="00B72C4C"/>
    <w:rPr>
      <w:sz w:val="16"/>
    </w:rPr>
  </w:style>
  <w:style w:type="paragraph" w:customStyle="1" w:styleId="WideTable">
    <w:name w:val="Wide Table"/>
    <w:basedOn w:val="Normal"/>
    <w:rsid w:val="00B72C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C4C"/>
  </w:style>
  <w:style w:type="paragraph" w:styleId="Quote">
    <w:name w:val="Quote"/>
    <w:basedOn w:val="Heading1"/>
    <w:link w:val="QuoteChar"/>
    <w:qFormat/>
    <w:rsid w:val="00B72C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C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C4C"/>
    <w:pPr>
      <w:pageBreakBefore/>
    </w:pPr>
  </w:style>
  <w:style w:type="paragraph" w:customStyle="1" w:styleId="Border">
    <w:name w:val="Border"/>
    <w:basedOn w:val="Normal"/>
    <w:qFormat/>
    <w:rsid w:val="00B72C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C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C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C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C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C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C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C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C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C4C"/>
    <w:rPr>
      <w:u w:val="single"/>
    </w:rPr>
  </w:style>
  <w:style w:type="character" w:customStyle="1" w:styleId="BoldandItalics">
    <w:name w:val="Bold and Italics"/>
    <w:qFormat/>
    <w:rsid w:val="00B72C4C"/>
    <w:rPr>
      <w:b/>
      <w:i/>
      <w:u w:val="none"/>
    </w:rPr>
  </w:style>
  <w:style w:type="paragraph" w:styleId="BalloonText">
    <w:name w:val="Balloon Text"/>
    <w:basedOn w:val="Normal"/>
    <w:link w:val="BalloonTextChar"/>
    <w:rsid w:val="00B72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C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C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C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C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C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C4C"/>
    <w:pPr>
      <w:spacing w:before="0" w:after="0"/>
    </w:pPr>
  </w:style>
  <w:style w:type="paragraph" w:customStyle="1" w:styleId="BodyTextBold">
    <w:name w:val="Body Text Bold"/>
    <w:basedOn w:val="BodyText"/>
    <w:qFormat/>
    <w:rsid w:val="00B72C4C"/>
    <w:rPr>
      <w:b/>
    </w:rPr>
  </w:style>
  <w:style w:type="character" w:styleId="Hyperlink">
    <w:name w:val="Hyperlink"/>
    <w:basedOn w:val="DefaultParagraphFont"/>
    <w:uiPriority w:val="99"/>
    <w:unhideWhenUsed/>
    <w:rsid w:val="00D70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2136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FNSFMK518 Monitor and process collateral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