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019" w:rsidP="009620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FNSFMK516 Review and confirm human resources and IT systems satisfy requirements of licence</w:t>
      </w:r>
      <w:r>
        <w:fldChar w:fldCharType="end"/>
      </w:r>
    </w:p>
    <w:p w:rsidR="00962019" w:rsidP="00962019">
      <w:pPr>
        <w:pStyle w:val="Version"/>
        <w:sectPr w:rsidSect="00BD0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F24" w:rsidP="00BD0F24">
      <w:pPr>
        <w:pStyle w:val="SuperHeading"/>
      </w:pPr>
      <w:r w:rsidRPr="00BD0F24">
        <w:t>FNSFMK516 Review and confirm human resources and IT systems satisfy requirements of licence</w:t>
      </w:r>
    </w:p>
    <w:p w:rsidR="00000000" w:rsidRPr="00BD0F24" w:rsidP="00BD0F24">
      <w:pPr>
        <w:pStyle w:val="Heading1"/>
      </w:pPr>
      <w:bookmarkStart w:id="1" w:name="O_1074891"/>
      <w:bookmarkEnd w:id="1"/>
      <w:r w:rsidRPr="00BD0F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0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24" w:rsidP="00BD0F24">
            <w:pPr>
              <w:pStyle w:val="BodyText"/>
            </w:pPr>
            <w:r w:rsidRPr="00BD0F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rPr>
                <w:rStyle w:val="SpecialBold"/>
              </w:rPr>
              <w:t>Comments</w:t>
            </w:r>
          </w:p>
        </w:tc>
      </w:tr>
      <w:tr w:rsidTr="00BD0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24" w:rsidP="00BD0F24">
            <w:pPr>
              <w:pStyle w:val="BodyText"/>
            </w:pPr>
            <w:r w:rsidRPr="00BD0F24">
              <w:t>This version first released with FNS Financial Services Training Package Version 4.0.</w:t>
            </w:r>
          </w:p>
        </w:tc>
      </w:tr>
    </w:tbl>
    <w:p w:rsidR="00000000" w:rsidRPr="00BD0F24" w:rsidP="00BD0F24">
      <w:pPr>
        <w:pStyle w:val="BodyText"/>
      </w:pPr>
    </w:p>
    <w:p w:rsidR="00000000" w:rsidRPr="00BD0F24" w:rsidP="00BD0F24">
      <w:pPr>
        <w:pStyle w:val="AllowPageBreak"/>
      </w:pPr>
    </w:p>
    <w:p w:rsidR="00000000" w:rsidRPr="00BD0F24" w:rsidP="00BD0F24">
      <w:pPr>
        <w:pStyle w:val="Heading1"/>
      </w:pPr>
      <w:bookmarkStart w:id="2" w:name="O_1074892"/>
      <w:bookmarkEnd w:id="2"/>
      <w:r w:rsidRPr="00BD0F24">
        <w:t>Application</w:t>
      </w:r>
    </w:p>
    <w:p w:rsidR="00000000" w:rsidRPr="00BD0F24" w:rsidP="00962019">
      <w:pPr>
        <w:pStyle w:val="BodyText"/>
      </w:pPr>
      <w:r w:rsidRPr="00BD0F24">
        <w:t>This unit describes the skills and knowledge required by a responsible manager for an Australian Financial Services (AFS) licensee to assist with confirming human resources and information systems meet business needs as well a</w:t>
      </w:r>
      <w:r w:rsidRPr="00BD0F24">
        <w:t>s licence compliance requirements. This involves assessing licence requirements, assessing adequacy of staffing levels and information technology (IT) systems and implementing necessary adjustments.</w:t>
      </w:r>
    </w:p>
    <w:p w:rsidR="00000000" w:rsidRPr="00BD0F24" w:rsidP="00962019">
      <w:pPr>
        <w:pStyle w:val="BodyText"/>
      </w:pPr>
      <w:r w:rsidRPr="00BD0F24">
        <w:t>It applies to individuals who carry out work as a respons</w:t>
      </w:r>
      <w:r w:rsidRPr="00BD0F24">
        <w:t>ible manager for an AFS licensee.</w:t>
      </w:r>
    </w:p>
    <w:p w:rsidR="00000000" w:rsidRPr="00BD0F24" w:rsidP="00962019">
      <w:pPr>
        <w:pStyle w:val="BodyText"/>
      </w:pPr>
      <w:r w:rsidRPr="00BD0F24">
        <w:t>Work functions in the occupational areas where this unit is used may be subject to regulatory requirements. Refer to the relevant regulator for specific guidance on requirements.</w:t>
      </w:r>
    </w:p>
    <w:p w:rsidR="00000000" w:rsidRPr="00BD0F24" w:rsidP="00BD0F24">
      <w:pPr>
        <w:pStyle w:val="Heading1"/>
      </w:pPr>
      <w:bookmarkStart w:id="3" w:name="O_1074895"/>
      <w:bookmarkEnd w:id="3"/>
      <w:r w:rsidRPr="00BD0F24">
        <w:t>Unit Sector</w:t>
      </w:r>
    </w:p>
    <w:p w:rsidR="00000000" w:rsidRPr="00BD0F24" w:rsidP="00962019">
      <w:pPr>
        <w:pStyle w:val="BodyText"/>
      </w:pPr>
      <w:r w:rsidRPr="00BD0F24">
        <w:t xml:space="preserve">Regulation, </w:t>
      </w:r>
      <w:r w:rsidRPr="00BD0F24">
        <w:t>licensing and risk – Compliance</w:t>
      </w:r>
    </w:p>
    <w:p w:rsidR="00000000" w:rsidRPr="00BD0F24" w:rsidP="00BD0F24">
      <w:pPr>
        <w:pStyle w:val="Heading1"/>
      </w:pPr>
      <w:bookmarkStart w:id="4" w:name="O_1074896"/>
      <w:bookmarkEnd w:id="4"/>
      <w:r w:rsidRPr="00BD0F24">
        <w:t>Elements and Performance Criteria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4"/>
      </w:tblGrid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24" w:rsidP="00BD0F24">
            <w:pPr>
              <w:pStyle w:val="BodyText"/>
            </w:pPr>
            <w:r w:rsidRPr="00BD0F24">
              <w:rPr>
                <w:rStyle w:val="SpecialBold"/>
              </w:rPr>
              <w:t>ELEMENT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rPr>
                <w:rStyle w:val="SpecialBold"/>
              </w:rPr>
              <w:t>PERFORMANCE CRITERIA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24" w:rsidP="00BD0F24">
            <w:pPr>
              <w:pStyle w:val="BodyText"/>
            </w:pPr>
            <w:r w:rsidRPr="00BD0F24">
              <w:rPr>
                <w:rStyle w:val="Emphasis"/>
              </w:rPr>
              <w:t>Elements describe the essential outcomes.</w:t>
            </w:r>
          </w:p>
        </w:tc>
        <w:tc>
          <w:tcPr>
            <w:tcW w:w="674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List"/>
              <w:rPr>
                <w:lang w:val="en-NZ"/>
              </w:rPr>
            </w:pPr>
            <w:r w:rsidRPr="00BD0F24">
              <w:t>1. Review regulatory and licence requirements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24" w:rsidP="00BD0F24">
            <w:pPr>
              <w:pStyle w:val="List"/>
            </w:pPr>
            <w:r w:rsidRPr="00BD0F24">
              <w:t>1.1 Analyse relevant regulatory requirements, regulator guidance, and organisational licence conditions and obligations</w:t>
            </w:r>
          </w:p>
          <w:p w:rsidR="00000000" w:rsidRPr="00BD0F24" w:rsidP="00BD0F24">
            <w:pPr>
              <w:pStyle w:val="List"/>
            </w:pPr>
            <w:r w:rsidRPr="00BD0F24">
              <w:t>1.2 Identify compliance requirements for provision of financial services by the organisati</w:t>
            </w:r>
            <w:r w:rsidRPr="00BD0F24">
              <w:t>on</w:t>
            </w:r>
          </w:p>
          <w:p w:rsidR="00000000" w:rsidP="00BD0F24">
            <w:pPr>
              <w:pStyle w:val="List"/>
              <w:rPr>
                <w:lang w:val="en-NZ"/>
              </w:rPr>
            </w:pPr>
            <w:r w:rsidRPr="00BD0F24">
              <w:t>1.3 Analyse the alignment of the business unit or organisation with licence requirements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List"/>
              <w:rPr>
                <w:lang w:val="en-NZ"/>
              </w:rPr>
            </w:pPr>
            <w:r w:rsidRPr="00BD0F24">
              <w:t xml:space="preserve">2. Assess adequacy of staffing levels and skills for meeting </w:t>
            </w:r>
            <w:r w:rsidRPr="00BD0F24">
              <w:t>licence requirements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24" w:rsidP="00BD0F24">
            <w:pPr>
              <w:pStyle w:val="List"/>
            </w:pPr>
            <w:r w:rsidRPr="00BD0F24">
              <w:t>2.1 Review and analyse staffing levels of organisation or business unit against licence requirements</w:t>
            </w:r>
          </w:p>
          <w:p w:rsidR="00000000" w:rsidRPr="00BD0F24" w:rsidP="00BD0F24">
            <w:pPr>
              <w:pStyle w:val="List"/>
            </w:pPr>
            <w:r w:rsidRPr="00BD0F24">
              <w:t>2.2</w:t>
            </w:r>
            <w:r w:rsidRPr="00BD0F24">
              <w:tab/>
              <w:t xml:space="preserve">Identify and review skills and knowledge required by staff to </w:t>
            </w:r>
            <w:r w:rsidRPr="00BD0F24">
              <w:t>adhere to licence requirements</w:t>
            </w:r>
          </w:p>
          <w:p w:rsidR="00000000" w:rsidRPr="00BD0F24" w:rsidP="00BD0F24">
            <w:pPr>
              <w:pStyle w:val="List"/>
            </w:pPr>
            <w:r w:rsidRPr="00BD0F24">
              <w:t>2.3</w:t>
            </w:r>
            <w:r w:rsidRPr="00BD0F24">
              <w:tab/>
              <w:t>Monitor staff performance metrics to identify areas wh</w:t>
            </w:r>
            <w:r w:rsidRPr="00BD0F24">
              <w:t>ere skills and knowledge of staff indicate concerns or potential breaches</w:t>
            </w:r>
          </w:p>
          <w:p w:rsidR="00000000" w:rsidP="00BD0F24">
            <w:pPr>
              <w:pStyle w:val="List"/>
              <w:rPr>
                <w:lang w:val="en-NZ"/>
              </w:rPr>
            </w:pPr>
            <w:r w:rsidRPr="00BD0F24">
              <w:t>2.4</w:t>
            </w:r>
            <w:r w:rsidRPr="00BD0F24">
              <w:tab/>
              <w:t>Escalate concerns or potential breaches where staff knowledge and skills create a compliance risk for the organisation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List"/>
              <w:rPr>
                <w:lang w:val="en-NZ"/>
              </w:rPr>
            </w:pPr>
            <w:r w:rsidRPr="00BD0F24">
              <w:t>3. Assess adequacy of IT systems for meeting licence requi</w:t>
            </w:r>
            <w:r w:rsidRPr="00BD0F24">
              <w:t xml:space="preserve">rements 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24" w:rsidP="00BD0F24">
            <w:pPr>
              <w:pStyle w:val="List"/>
            </w:pPr>
            <w:r w:rsidRPr="00BD0F24">
              <w:t>3.1 Review and analyse IT system metrics of organisation or business unit against licence requirements</w:t>
            </w:r>
          </w:p>
          <w:p w:rsidR="00000000" w:rsidRPr="00BD0F24" w:rsidP="00BD0F24">
            <w:pPr>
              <w:pStyle w:val="List"/>
            </w:pPr>
            <w:r w:rsidRPr="00BD0F24">
              <w:t>3.2</w:t>
            </w:r>
            <w:r w:rsidRPr="00BD0F24">
              <w:tab/>
              <w:t>Monitor and analyse developments in cyber security and data privacy requirements</w:t>
            </w:r>
          </w:p>
          <w:p w:rsidR="00000000" w:rsidRPr="00BD0F24" w:rsidP="00BD0F24">
            <w:pPr>
              <w:pStyle w:val="List"/>
            </w:pPr>
            <w:r w:rsidRPr="00BD0F24">
              <w:t>3.3</w:t>
            </w:r>
            <w:r w:rsidRPr="00BD0F24">
              <w:tab/>
              <w:t>Escalate concerns or potential breaches where IT system</w:t>
            </w:r>
            <w:r w:rsidRPr="00BD0F24">
              <w:t>s create a compliance risk for the organisation</w:t>
            </w:r>
          </w:p>
          <w:p w:rsidR="00000000" w:rsidP="00BD0F24">
            <w:pPr>
              <w:pStyle w:val="List"/>
              <w:rPr>
                <w:lang w:val="en-NZ"/>
              </w:rPr>
            </w:pPr>
            <w:r w:rsidRPr="00BD0F24">
              <w:t>3.4</w:t>
            </w:r>
            <w:r w:rsidRPr="00BD0F24">
              <w:tab/>
              <w:t>Communicate to staff their responsibilities for ensuring that there are no breaches of regulatory requirements for protecting data in IT systems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List"/>
              <w:rPr>
                <w:lang w:val="en-NZ"/>
              </w:rPr>
            </w:pPr>
            <w:r w:rsidRPr="00BD0F24">
              <w:t>4. Monitor compliance with licence obligations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24" w:rsidP="00BD0F24">
            <w:pPr>
              <w:pStyle w:val="List"/>
            </w:pPr>
            <w:r w:rsidRPr="00BD0F24">
              <w:t>4.1 Identif</w:t>
            </w:r>
            <w:r w:rsidRPr="00BD0F24">
              <w:t>y and assess implications of changes in business strategies of the organisation and priorities for the licence</w:t>
            </w:r>
          </w:p>
          <w:p w:rsidR="00000000" w:rsidRPr="00BD0F24" w:rsidP="00BD0F24">
            <w:pPr>
              <w:pStyle w:val="List"/>
            </w:pPr>
            <w:r w:rsidRPr="00BD0F24">
              <w:t>4.2 Assess implications of changes to licence obligations for business unit or staffing and IT systems of the organisation</w:t>
            </w:r>
          </w:p>
          <w:p w:rsidR="00000000" w:rsidRPr="00BD0F24" w:rsidP="00BD0F24">
            <w:pPr>
              <w:pStyle w:val="List"/>
            </w:pPr>
            <w:r w:rsidRPr="00BD0F24">
              <w:t>4.3 Monitor and evalua</w:t>
            </w:r>
            <w:r w:rsidRPr="00BD0F24">
              <w:t>te alignment of staffing and IT systems of the organisation with licence requirements according to organisational timelines</w:t>
            </w:r>
          </w:p>
        </w:tc>
      </w:tr>
    </w:tbl>
    <w:p w:rsidR="00000000" w:rsidRPr="00BD0F24" w:rsidP="00BD0F24">
      <w:pPr>
        <w:pStyle w:val="BodyText"/>
      </w:pPr>
    </w:p>
    <w:p w:rsidR="00000000" w:rsidRPr="00BD0F24" w:rsidP="00BD0F24">
      <w:pPr>
        <w:pStyle w:val="AllowPageBreak"/>
      </w:pPr>
    </w:p>
    <w:p w:rsidR="00000000" w:rsidRPr="00BD0F24" w:rsidP="00BD0F24">
      <w:pPr>
        <w:pStyle w:val="Heading1"/>
      </w:pPr>
      <w:bookmarkStart w:id="5" w:name="O_1074897"/>
      <w:bookmarkEnd w:id="5"/>
      <w:r w:rsidRPr="00BD0F24">
        <w:t>Foundation Skills</w:t>
      </w:r>
    </w:p>
    <w:p w:rsidR="00000000" w:rsidRPr="00962019" w:rsidP="00962019">
      <w:pPr>
        <w:pStyle w:val="BodyText"/>
        <w:rPr>
          <w:i/>
        </w:rPr>
      </w:pPr>
      <w:r w:rsidRPr="00962019">
        <w:rPr>
          <w:rStyle w:val="Emphasis"/>
        </w:rPr>
        <w:t>This section describes those language, literacy, numeracy and employment skills that are esse</w:t>
      </w:r>
      <w:r w:rsidRPr="00962019">
        <w:rPr>
          <w:rStyle w:val="Emphasis"/>
        </w:rPr>
        <w:t>ntial to performance but not explicit in the performance criteria.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3"/>
      </w:tblGrid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Bold"/>
              <w:rPr>
                <w:lang w:val="en-NZ"/>
              </w:rPr>
            </w:pPr>
            <w:r w:rsidRPr="00BD0F24">
              <w:t>SKILL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Bold"/>
              <w:rPr>
                <w:lang w:val="en-NZ"/>
              </w:rPr>
            </w:pPr>
            <w:r w:rsidRPr="00BD0F24">
              <w:t>DESCRIPTION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t>Oral communication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ListBullet"/>
              <w:rPr>
                <w:lang w:val="en-NZ"/>
              </w:rPr>
            </w:pPr>
            <w:r w:rsidRPr="00BD0F24">
              <w:t xml:space="preserve">Uses active listening and questioning techniques to elicit the views and opinions of </w:t>
            </w:r>
            <w:r w:rsidRPr="00BD0F24">
              <w:t>others and to confirm understanding with consideration of context, purpose and audience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t>Reading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ListBullet"/>
              <w:rPr>
                <w:lang w:val="en-NZ"/>
              </w:rPr>
            </w:pPr>
            <w:r w:rsidRPr="00BD0F24">
              <w:t>Analyses complex textual information from a range of sources and relates specific aspects of information to requirements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t>Writing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ListBullet"/>
              <w:rPr>
                <w:lang w:val="en-NZ"/>
              </w:rPr>
            </w:pPr>
            <w:r w:rsidRPr="00BD0F24">
              <w:t>Records and reports information using clear language and organisational templates and formats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t>Teamwork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ListBullet"/>
              <w:rPr>
                <w:lang w:val="en-NZ"/>
              </w:rPr>
            </w:pPr>
            <w:r w:rsidRPr="00BD0F24">
              <w:t>Uses interpersonal skills to establish and enhance rapport with and between team members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t>Initiative and enterprise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24" w:rsidP="00BD0F24">
            <w:pPr>
              <w:pStyle w:val="ListBullet"/>
            </w:pPr>
            <w:r w:rsidRPr="00BD0F24">
              <w:t>Monitors implementation and manage</w:t>
            </w:r>
            <w:r w:rsidRPr="00BD0F24">
              <w:t>s communication</w:t>
            </w:r>
          </w:p>
          <w:p w:rsidR="00000000" w:rsidP="00BD0F24">
            <w:pPr>
              <w:pStyle w:val="ListBullet"/>
              <w:rPr>
                <w:lang w:val="en-NZ"/>
              </w:rPr>
            </w:pPr>
            <w:r w:rsidRPr="00BD0F24">
              <w:t>Critically analyses data generated in automated processes and systems for validity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t>Self-management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ListBullet"/>
              <w:rPr>
                <w:lang w:val="en-NZ"/>
              </w:rPr>
            </w:pPr>
            <w:r w:rsidRPr="00BD0F24">
              <w:t>Maintains knowledge of changes to regulations relevant to own rights and responsibilities and considers implications of these when planning</w:t>
            </w:r>
            <w:r w:rsidRPr="00BD0F24">
              <w:t xml:space="preserve"> and undertaking work</w:t>
            </w:r>
          </w:p>
        </w:tc>
      </w:tr>
      <w:tr w:rsidTr="00BD0F24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24">
            <w:pPr>
              <w:pStyle w:val="BodyText"/>
              <w:rPr>
                <w:lang w:val="en-NZ"/>
              </w:rPr>
            </w:pPr>
            <w:r w:rsidRPr="00BD0F24">
              <w:t>Technology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24" w:rsidP="00BD0F24">
            <w:pPr>
              <w:pStyle w:val="ListBullet"/>
            </w:pPr>
            <w:r w:rsidRPr="00BD0F24">
              <w:t>Uses industry standard digital technologies and systems to access information, search and enter data, present information and communicate with others</w:t>
            </w:r>
          </w:p>
        </w:tc>
      </w:tr>
    </w:tbl>
    <w:p w:rsidR="00000000" w:rsidRPr="00BD0F24" w:rsidP="00BD0F24">
      <w:pPr>
        <w:pStyle w:val="BodyText"/>
      </w:pPr>
    </w:p>
    <w:p w:rsidR="00000000" w:rsidRPr="00BD0F24" w:rsidP="00BD0F24">
      <w:pPr>
        <w:pStyle w:val="AllowPageBreak"/>
      </w:pPr>
    </w:p>
    <w:p w:rsidR="00000000" w:rsidRPr="00BD0F24" w:rsidP="00BD0F24">
      <w:pPr>
        <w:pStyle w:val="Heading1"/>
      </w:pPr>
      <w:bookmarkStart w:id="6" w:name="O_1074899"/>
      <w:bookmarkEnd w:id="6"/>
      <w:r w:rsidRPr="00BD0F24">
        <w:t>Unit Mapping Information</w:t>
      </w:r>
    </w:p>
    <w:p w:rsidR="00000000" w:rsidRPr="00BD0F24" w:rsidP="00962019">
      <w:pPr>
        <w:pStyle w:val="BodyText"/>
      </w:pPr>
      <w:r w:rsidRPr="00BD0F24">
        <w:t>No equivalent unit. New unit.</w:t>
      </w:r>
    </w:p>
    <w:p w:rsidR="00000000" w:rsidRPr="00BD0F24" w:rsidP="00BD0F24">
      <w:pPr>
        <w:pStyle w:val="Heading1"/>
      </w:pPr>
      <w:bookmarkStart w:id="7" w:name="O_1074906"/>
      <w:bookmarkEnd w:id="7"/>
      <w:r w:rsidRPr="00BD0F24">
        <w:t>Links</w:t>
      </w:r>
    </w:p>
    <w:p w:rsidR="00000000" w:rsidRPr="00BD0F24" w:rsidP="00962019">
      <w:pPr>
        <w:pStyle w:val="BodyText"/>
      </w:pPr>
      <w:r w:rsidRPr="00BD0F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D756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D0F24" w:rsidP="00BD0F24"/>
    <w:sectPr w:rsidSect="00BD0F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24" w:rsidRPr="00962019" w:rsidP="009620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19" w:rsidP="00BD0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019" w:rsidP="00BD0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2019" w:rsidP="00BD0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F24" w:rsidRPr="00962019" w:rsidP="009620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19" w:rsidRPr="002D2AF8" w:rsidP="00BD0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FNSFMK516 Review and confirm human resources and IT systems satisfy requirements of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62019" w:rsidP="00BD0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BA7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4613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F24"/>
  </w:style>
  <w:style w:type="character" w:customStyle="1" w:styleId="Heading1Char">
    <w:name w:val="Heading 1 Char"/>
    <w:basedOn w:val="DefaultParagraphFont"/>
    <w:link w:val="Heading1"/>
    <w:rsid w:val="00BD0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F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F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0F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0F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0F24"/>
    <w:rPr>
      <w:b/>
      <w:spacing w:val="0"/>
    </w:rPr>
  </w:style>
  <w:style w:type="character" w:styleId="Emphasis">
    <w:name w:val="Emphasis"/>
    <w:basedOn w:val="DefaultParagraphFont"/>
    <w:qFormat/>
    <w:rsid w:val="00BD0F24"/>
    <w:rPr>
      <w:i/>
    </w:rPr>
  </w:style>
  <w:style w:type="paragraph" w:customStyle="1" w:styleId="SuperHeading">
    <w:name w:val="SuperHeading"/>
    <w:basedOn w:val="Normal"/>
    <w:rsid w:val="00BD0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0F24"/>
    <w:rPr>
      <w:b/>
    </w:rPr>
  </w:style>
  <w:style w:type="character" w:customStyle="1" w:styleId="Heading2Char">
    <w:name w:val="Heading 2 Char"/>
    <w:basedOn w:val="DefaultParagraphFont"/>
    <w:link w:val="Heading2"/>
    <w:rsid w:val="00BD0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F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0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F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F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0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F24"/>
  </w:style>
  <w:style w:type="paragraph" w:styleId="TableofFigures">
    <w:name w:val="table of figures"/>
    <w:basedOn w:val="Normal"/>
    <w:next w:val="Normal"/>
    <w:semiHidden/>
    <w:rsid w:val="00BD0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F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0F24"/>
    <w:rPr>
      <w:rFonts w:ascii="Wingdings" w:hAnsi="Wingdings"/>
    </w:rPr>
  </w:style>
  <w:style w:type="paragraph" w:customStyle="1" w:styleId="TableHeading">
    <w:name w:val="Table Heading"/>
    <w:basedOn w:val="HeadingBase"/>
    <w:rsid w:val="00BD0F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F24"/>
    <w:rPr>
      <w:color w:val="0033CC"/>
      <w:u w:val="none"/>
    </w:rPr>
  </w:style>
  <w:style w:type="paragraph" w:customStyle="1" w:styleId="BodyTextRight">
    <w:name w:val="Body Text Right"/>
    <w:basedOn w:val="BodyText"/>
    <w:rsid w:val="00BD0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F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F24"/>
    <w:rPr>
      <w:sz w:val="32"/>
    </w:rPr>
  </w:style>
  <w:style w:type="paragraph" w:customStyle="1" w:styleId="HeadingProcedure">
    <w:name w:val="Heading Procedure"/>
    <w:basedOn w:val="HeadingBase"/>
    <w:next w:val="Normal"/>
    <w:rsid w:val="00BD0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F24"/>
    <w:pPr>
      <w:spacing w:before="60" w:after="60"/>
    </w:pPr>
  </w:style>
  <w:style w:type="paragraph" w:styleId="ListContinue">
    <w:name w:val="List Continue"/>
    <w:basedOn w:val="List"/>
    <w:rsid w:val="00BD0F24"/>
    <w:pPr>
      <w:ind w:firstLine="0"/>
    </w:pPr>
  </w:style>
  <w:style w:type="paragraph" w:customStyle="1" w:styleId="ListNote">
    <w:name w:val="List Note"/>
    <w:basedOn w:val="List"/>
    <w:rsid w:val="00BD0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F24"/>
    <w:rPr>
      <w:rFonts w:ascii="Courier New" w:hAnsi="Courier New"/>
    </w:rPr>
  </w:style>
  <w:style w:type="paragraph" w:customStyle="1" w:styleId="NoteBullet">
    <w:name w:val="Note Bullet"/>
    <w:basedOn w:val="Note"/>
    <w:rsid w:val="00BD0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F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0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F24"/>
    <w:rPr>
      <w:b/>
      <w:smallCaps/>
    </w:rPr>
  </w:style>
  <w:style w:type="paragraph" w:customStyle="1" w:styleId="TableListNumber">
    <w:name w:val="Table List Number"/>
    <w:basedOn w:val="ListNumber"/>
    <w:rsid w:val="00BD0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F24"/>
    <w:pPr>
      <w:numPr>
        <w:numId w:val="8"/>
      </w:numPr>
    </w:pPr>
  </w:style>
  <w:style w:type="paragraph" w:customStyle="1" w:styleId="ListAlpha2">
    <w:name w:val="List Alpha 2"/>
    <w:basedOn w:val="List2"/>
    <w:rsid w:val="00BD0F24"/>
    <w:pPr>
      <w:numPr>
        <w:numId w:val="7"/>
      </w:numPr>
    </w:pPr>
  </w:style>
  <w:style w:type="paragraph" w:styleId="List2">
    <w:name w:val="List 2"/>
    <w:basedOn w:val="BodyText"/>
    <w:rsid w:val="00BD0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F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F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0F24"/>
    <w:pPr>
      <w:numPr>
        <w:numId w:val="3"/>
      </w:numPr>
    </w:pPr>
  </w:style>
  <w:style w:type="paragraph" w:styleId="ListContinue2">
    <w:name w:val="List Continue 2"/>
    <w:basedOn w:val="List2"/>
    <w:rsid w:val="00BD0F24"/>
    <w:pPr>
      <w:ind w:firstLine="0"/>
    </w:pPr>
  </w:style>
  <w:style w:type="paragraph" w:styleId="ListContinue3">
    <w:name w:val="List Continue 3"/>
    <w:basedOn w:val="List3"/>
    <w:rsid w:val="00BD0F24"/>
    <w:pPr>
      <w:ind w:left="1021" w:firstLine="0"/>
    </w:pPr>
  </w:style>
  <w:style w:type="paragraph" w:styleId="ListContinue4">
    <w:name w:val="List Continue 4"/>
    <w:basedOn w:val="List4"/>
    <w:rsid w:val="00BD0F24"/>
    <w:pPr>
      <w:ind w:firstLine="0"/>
    </w:pPr>
  </w:style>
  <w:style w:type="paragraph" w:styleId="ListContinue5">
    <w:name w:val="List Continue 5"/>
    <w:basedOn w:val="List5"/>
    <w:rsid w:val="00BD0F24"/>
    <w:pPr>
      <w:ind w:firstLine="0"/>
    </w:pPr>
  </w:style>
  <w:style w:type="paragraph" w:styleId="ListNumber3">
    <w:name w:val="List Number 3"/>
    <w:basedOn w:val="List3"/>
    <w:rsid w:val="00BD0F24"/>
    <w:pPr>
      <w:numPr>
        <w:numId w:val="4"/>
      </w:numPr>
    </w:pPr>
  </w:style>
  <w:style w:type="paragraph" w:styleId="ListNumber4">
    <w:name w:val="List Number 4"/>
    <w:basedOn w:val="List4"/>
    <w:rsid w:val="00BD0F24"/>
    <w:pPr>
      <w:numPr>
        <w:numId w:val="5"/>
      </w:numPr>
    </w:pPr>
  </w:style>
  <w:style w:type="paragraph" w:styleId="ListNumber5">
    <w:name w:val="List Number 5"/>
    <w:basedOn w:val="List5"/>
    <w:rsid w:val="00BD0F24"/>
    <w:pPr>
      <w:numPr>
        <w:numId w:val="6"/>
      </w:numPr>
    </w:pPr>
  </w:style>
  <w:style w:type="paragraph" w:styleId="BlockText">
    <w:name w:val="Block Text"/>
    <w:basedOn w:val="Normal"/>
    <w:rsid w:val="00BD0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F24"/>
    <w:rPr>
      <w:sz w:val="16"/>
      <w:vertAlign w:val="superscript"/>
    </w:rPr>
  </w:style>
  <w:style w:type="character" w:customStyle="1" w:styleId="Symbols">
    <w:name w:val="Symbols"/>
    <w:basedOn w:val="DefaultParagraphFont"/>
    <w:rsid w:val="00BD0F24"/>
    <w:rPr>
      <w:rFonts w:ascii="Symbol" w:hAnsi="Symbol"/>
    </w:rPr>
  </w:style>
  <w:style w:type="character" w:customStyle="1" w:styleId="MenuOptions">
    <w:name w:val="Menu Options"/>
    <w:basedOn w:val="DefaultParagraphFont"/>
    <w:rsid w:val="00BD0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F24"/>
    <w:rPr>
      <w:b/>
    </w:rPr>
  </w:style>
  <w:style w:type="character" w:customStyle="1" w:styleId="Underlined">
    <w:name w:val="Underlined"/>
    <w:basedOn w:val="DefaultParagraphFont"/>
    <w:rsid w:val="00BD0F24"/>
    <w:rPr>
      <w:u w:val="single"/>
    </w:rPr>
  </w:style>
  <w:style w:type="paragraph" w:customStyle="1" w:styleId="TableBodyTextRight">
    <w:name w:val="Table Body Text Right"/>
    <w:basedOn w:val="TableBodyText"/>
    <w:rsid w:val="00BD0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F24"/>
    <w:rPr>
      <w:sz w:val="18"/>
    </w:rPr>
  </w:style>
  <w:style w:type="paragraph" w:customStyle="1" w:styleId="BodySmallRight">
    <w:name w:val="Body Small Right"/>
    <w:basedOn w:val="BodyTextRight"/>
    <w:rsid w:val="00BD0F24"/>
    <w:rPr>
      <w:sz w:val="18"/>
      <w:szCs w:val="18"/>
    </w:rPr>
  </w:style>
  <w:style w:type="paragraph" w:customStyle="1" w:styleId="MarginEdition">
    <w:name w:val="Margin Edition"/>
    <w:basedOn w:val="MarginNote"/>
    <w:rsid w:val="00BD0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F24"/>
    <w:rPr>
      <w:sz w:val="2"/>
      <w:szCs w:val="2"/>
    </w:rPr>
  </w:style>
  <w:style w:type="character" w:customStyle="1" w:styleId="Small">
    <w:name w:val="Small"/>
    <w:basedOn w:val="DefaultParagraphFont"/>
    <w:rsid w:val="00BD0F24"/>
    <w:rPr>
      <w:sz w:val="16"/>
    </w:rPr>
  </w:style>
  <w:style w:type="paragraph" w:customStyle="1" w:styleId="WideTable">
    <w:name w:val="Wide Table"/>
    <w:basedOn w:val="Normal"/>
    <w:rsid w:val="00BD0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F24"/>
  </w:style>
  <w:style w:type="paragraph" w:styleId="Quote">
    <w:name w:val="Quote"/>
    <w:basedOn w:val="Heading1"/>
    <w:link w:val="QuoteChar"/>
    <w:qFormat/>
    <w:rsid w:val="00BD0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F24"/>
    <w:pPr>
      <w:pageBreakBefore/>
    </w:pPr>
  </w:style>
  <w:style w:type="paragraph" w:customStyle="1" w:styleId="Border">
    <w:name w:val="Border"/>
    <w:basedOn w:val="Normal"/>
    <w:qFormat/>
    <w:rsid w:val="00BD0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F24"/>
    <w:rPr>
      <w:u w:val="single"/>
    </w:rPr>
  </w:style>
  <w:style w:type="character" w:customStyle="1" w:styleId="BoldandItalics">
    <w:name w:val="Bold and Italics"/>
    <w:qFormat/>
    <w:rsid w:val="00BD0F24"/>
    <w:rPr>
      <w:b/>
      <w:i/>
      <w:u w:val="none"/>
    </w:rPr>
  </w:style>
  <w:style w:type="paragraph" w:styleId="BalloonText">
    <w:name w:val="Balloon Text"/>
    <w:basedOn w:val="Normal"/>
    <w:link w:val="BalloonTextChar"/>
    <w:rsid w:val="00BD0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F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F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F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20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4095</Characters>
  <Application>Microsoft Office Word</Application>
  <DocSecurity>0</DocSecurity>
  <Lines>124</Lines>
  <Paragraphs>71</Paragraphs>
  <ScaleCrop>false</ScaleCrop>
  <Company>Author-it Software Corporation Ltd.</Company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FNSFMK516 Review and confirm human resources and IT systems satisfy requirements of licence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