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14E" w:rsidP="008C2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FNSFMK516 Review and confirm human resources and IT systems satisfy requirements of licence</w:t>
      </w:r>
      <w:r>
        <w:fldChar w:fldCharType="end"/>
      </w:r>
    </w:p>
    <w:p w:rsidR="008C214E" w:rsidP="008C214E">
      <w:pPr>
        <w:pStyle w:val="Version"/>
        <w:sectPr w:rsidSect="00890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9A4" w:rsidP="008909A4">
      <w:pPr>
        <w:pStyle w:val="SuperHeading"/>
      </w:pPr>
      <w:r w:rsidRPr="008909A4">
        <w:t>Assessment Requirements for FNSFMK516 Review and confirm human resources and IT systems satisfy requirements of licence</w:t>
      </w:r>
    </w:p>
    <w:p w:rsidR="00000000" w:rsidRPr="008909A4" w:rsidP="008909A4">
      <w:pPr>
        <w:pStyle w:val="Heading1"/>
      </w:pPr>
      <w:bookmarkStart w:id="1" w:name="O_1074901"/>
      <w:bookmarkEnd w:id="1"/>
      <w:r w:rsidRPr="008909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0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A4" w:rsidP="008909A4">
            <w:pPr>
              <w:pStyle w:val="BodyText"/>
            </w:pPr>
            <w:r w:rsidRPr="008909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A4">
            <w:pPr>
              <w:pStyle w:val="BodyText"/>
              <w:rPr>
                <w:lang w:val="en-NZ"/>
              </w:rPr>
            </w:pPr>
            <w:r w:rsidRPr="008909A4">
              <w:rPr>
                <w:rStyle w:val="SpecialBold"/>
              </w:rPr>
              <w:t>Comments</w:t>
            </w:r>
          </w:p>
        </w:tc>
      </w:tr>
      <w:tr w:rsidTr="00890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A4">
            <w:pPr>
              <w:pStyle w:val="BodyText"/>
              <w:rPr>
                <w:lang w:val="en-NZ"/>
              </w:rPr>
            </w:pPr>
            <w:r w:rsidRPr="008909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A4" w:rsidP="008909A4">
            <w:pPr>
              <w:pStyle w:val="BodyText"/>
            </w:pPr>
            <w:r w:rsidRPr="008909A4">
              <w:t>This version first released with FNS Financial Services Training Package Version 4.0.</w:t>
            </w:r>
          </w:p>
        </w:tc>
      </w:tr>
    </w:tbl>
    <w:p w:rsidR="00000000" w:rsidRPr="008909A4" w:rsidP="008909A4">
      <w:pPr>
        <w:pStyle w:val="BodyText"/>
      </w:pPr>
    </w:p>
    <w:p w:rsidR="00000000" w:rsidRPr="008909A4" w:rsidP="008909A4">
      <w:pPr>
        <w:pStyle w:val="AllowPageBreak"/>
      </w:pPr>
    </w:p>
    <w:p w:rsidR="00000000" w:rsidRPr="008909A4" w:rsidP="008909A4">
      <w:pPr>
        <w:pStyle w:val="Heading1"/>
      </w:pPr>
      <w:bookmarkStart w:id="2" w:name="O_1074902"/>
      <w:bookmarkEnd w:id="2"/>
      <w:r w:rsidRPr="008909A4">
        <w:t>Performance Evidence</w:t>
      </w:r>
    </w:p>
    <w:p w:rsidR="00000000" w:rsidRPr="008909A4" w:rsidP="008C214E">
      <w:pPr>
        <w:pStyle w:val="BodyText"/>
      </w:pPr>
      <w:r w:rsidRPr="008909A4">
        <w:t>The candidate must demonstrate the ability to complete the tasks outlined in the elements, performance criteria and foundation s</w:t>
      </w:r>
      <w:r w:rsidRPr="008909A4">
        <w:t>kills of this unit, including evidence of the ability to:</w:t>
      </w:r>
    </w:p>
    <w:p w:rsidR="00000000" w:rsidRPr="008909A4" w:rsidP="008909A4">
      <w:pPr>
        <w:pStyle w:val="ListBullet"/>
      </w:pPr>
      <w:r w:rsidRPr="008909A4">
        <w:t>Conduct an assessment of the human resources and IT systems of one organisation or business unit for compliance with licence requirements.</w:t>
      </w:r>
    </w:p>
    <w:p w:rsidR="00000000" w:rsidRPr="008909A4" w:rsidP="008909A4">
      <w:pPr>
        <w:pStyle w:val="BodyText"/>
      </w:pPr>
    </w:p>
    <w:p w:rsidR="00000000" w:rsidRPr="008909A4" w:rsidP="008C214E">
      <w:pPr>
        <w:pStyle w:val="BodyText"/>
      </w:pPr>
      <w:r w:rsidRPr="008909A4">
        <w:t>In the course of the above, the candidate must:</w:t>
      </w:r>
    </w:p>
    <w:p w:rsidR="00000000" w:rsidRPr="008909A4" w:rsidP="008909A4">
      <w:pPr>
        <w:pStyle w:val="ListBullet"/>
      </w:pPr>
      <w:r w:rsidRPr="008909A4">
        <w:t>obtain r</w:t>
      </w:r>
      <w:r w:rsidRPr="008909A4">
        <w:t>elevant metrics to assess compliance with requirements of licence</w:t>
      </w:r>
    </w:p>
    <w:p w:rsidR="00000000" w:rsidRPr="008909A4" w:rsidP="008909A4">
      <w:pPr>
        <w:pStyle w:val="ListBullet"/>
      </w:pPr>
      <w:r w:rsidRPr="008909A4">
        <w:t>identify adjustments in human resources and IT systems required to comply with requirements of licence.</w:t>
      </w:r>
    </w:p>
    <w:p w:rsidR="00000000" w:rsidRPr="008909A4" w:rsidP="008909A4">
      <w:pPr>
        <w:pStyle w:val="AllowPageBreak"/>
      </w:pPr>
    </w:p>
    <w:p w:rsidR="00000000" w:rsidRPr="008909A4" w:rsidP="008909A4">
      <w:pPr>
        <w:pStyle w:val="Heading1"/>
      </w:pPr>
      <w:bookmarkStart w:id="3" w:name="O_1074903"/>
      <w:bookmarkEnd w:id="3"/>
      <w:r w:rsidRPr="008909A4">
        <w:t>Knowledge Evidence</w:t>
      </w:r>
    </w:p>
    <w:p w:rsidR="00000000" w:rsidRPr="008909A4" w:rsidP="008C214E">
      <w:pPr>
        <w:pStyle w:val="BodyText"/>
      </w:pPr>
      <w:r w:rsidRPr="008909A4">
        <w:t>The candidate must be able to demonstrate knowledge to complete the tasks outlined in the elements, performance criteria and foundation skills of this unit, including knowledge of:</w:t>
      </w:r>
    </w:p>
    <w:p w:rsidR="00000000" w:rsidRPr="008909A4" w:rsidP="008909A4">
      <w:pPr>
        <w:pStyle w:val="ListBullet"/>
      </w:pPr>
      <w:r w:rsidRPr="008909A4">
        <w:t>organisational licence conditions and regulatory requirements including re</w:t>
      </w:r>
      <w:r w:rsidRPr="008909A4">
        <w:t>gulator guidance</w:t>
      </w:r>
    </w:p>
    <w:p w:rsidR="00000000" w:rsidRPr="008909A4" w:rsidP="008909A4">
      <w:pPr>
        <w:pStyle w:val="ListBullet"/>
      </w:pPr>
      <w:r w:rsidRPr="008909A4">
        <w:t>legislative and regulatory requirements specific to IT policy and practice including:</w:t>
      </w:r>
    </w:p>
    <w:p w:rsidR="00000000" w:rsidRPr="008909A4" w:rsidP="008909A4">
      <w:pPr>
        <w:pStyle w:val="ListBullet2"/>
      </w:pPr>
      <w:r w:rsidRPr="008909A4">
        <w:t>cyber resilience</w:t>
      </w:r>
    </w:p>
    <w:p w:rsidR="00000000" w:rsidRPr="008909A4" w:rsidP="008909A4">
      <w:pPr>
        <w:pStyle w:val="ListBullet2"/>
      </w:pPr>
      <w:r w:rsidRPr="008909A4">
        <w:t>systems disaster recovery</w:t>
      </w:r>
    </w:p>
    <w:p w:rsidR="00000000" w:rsidRPr="008909A4" w:rsidP="008909A4">
      <w:pPr>
        <w:pStyle w:val="ListBullet2"/>
      </w:pPr>
      <w:r w:rsidRPr="008909A4">
        <w:t>security, storage and communication of different types of data and information</w:t>
      </w:r>
    </w:p>
    <w:p w:rsidR="00000000" w:rsidRPr="008909A4" w:rsidP="008909A4">
      <w:pPr>
        <w:pStyle w:val="ListBullet2"/>
      </w:pPr>
      <w:r w:rsidRPr="008909A4">
        <w:t>privacy legislation</w:t>
      </w:r>
    </w:p>
    <w:p w:rsidR="00000000" w:rsidRPr="008909A4" w:rsidP="008909A4">
      <w:pPr>
        <w:pStyle w:val="ListBullet"/>
      </w:pPr>
      <w:r w:rsidRPr="008909A4">
        <w:t>organisat</w:t>
      </w:r>
      <w:r w:rsidRPr="008909A4">
        <w:t>ional metrics for monitoring performance and IT systems</w:t>
      </w:r>
    </w:p>
    <w:p w:rsidR="00000000" w:rsidRPr="008909A4" w:rsidP="008909A4">
      <w:pPr>
        <w:pStyle w:val="ListBullet"/>
      </w:pPr>
      <w:r w:rsidRPr="008909A4">
        <w:t>developments in cyber security and data requirements</w:t>
      </w:r>
    </w:p>
    <w:p w:rsidR="00000000" w:rsidRPr="008909A4" w:rsidP="008909A4">
      <w:pPr>
        <w:pStyle w:val="ListBullet"/>
      </w:pPr>
      <w:r w:rsidRPr="008909A4">
        <w:t>business continuity and disaster recovery procedures</w:t>
      </w:r>
    </w:p>
    <w:p w:rsidR="00000000" w:rsidRPr="008909A4" w:rsidP="008909A4">
      <w:pPr>
        <w:pStyle w:val="ListBullet"/>
      </w:pPr>
      <w:r w:rsidRPr="008909A4">
        <w:t xml:space="preserve">key types of potential breaches of regulatory requirements and licence obligations pertaining </w:t>
      </w:r>
      <w:r w:rsidRPr="008909A4">
        <w:t xml:space="preserve">to IT systems, including </w:t>
      </w:r>
    </w:p>
    <w:p w:rsidR="00000000" w:rsidRPr="008909A4" w:rsidP="008909A4">
      <w:pPr>
        <w:pStyle w:val="ListBullet2"/>
      </w:pPr>
      <w:r w:rsidRPr="008909A4">
        <w:t>breaches of the privacy legislation</w:t>
      </w:r>
    </w:p>
    <w:p w:rsidR="00000000" w:rsidRPr="008909A4" w:rsidP="008909A4">
      <w:pPr>
        <w:pStyle w:val="ListBullet2"/>
      </w:pPr>
      <w:r w:rsidRPr="008909A4">
        <w:t>security vulnerabilities</w:t>
      </w:r>
    </w:p>
    <w:p w:rsidR="00000000" w:rsidRPr="008909A4" w:rsidP="008909A4">
      <w:pPr>
        <w:pStyle w:val="ListBullet2"/>
      </w:pPr>
      <w:r w:rsidRPr="008909A4">
        <w:t xml:space="preserve">potential cyber risks </w:t>
      </w:r>
    </w:p>
    <w:p w:rsidR="00000000" w:rsidRPr="008909A4" w:rsidP="008909A4">
      <w:pPr>
        <w:pStyle w:val="ListBullet2"/>
      </w:pPr>
      <w:r w:rsidRPr="008909A4">
        <w:t>network access control breaches</w:t>
      </w:r>
    </w:p>
    <w:p w:rsidR="00000000" w:rsidRPr="008909A4" w:rsidP="008909A4">
      <w:pPr>
        <w:pStyle w:val="ListBullet"/>
      </w:pPr>
      <w:r w:rsidRPr="008909A4">
        <w:t>internal procedures for escalation of potential breaches</w:t>
      </w:r>
    </w:p>
    <w:p w:rsidR="00000000" w:rsidRPr="008909A4" w:rsidP="008909A4">
      <w:pPr>
        <w:pStyle w:val="ListBullet"/>
      </w:pPr>
      <w:r w:rsidRPr="008909A4">
        <w:t>responsibilities of staff for monitoring compliance of IT systems with regulatory requirements including:</w:t>
      </w:r>
    </w:p>
    <w:p w:rsidR="00000000" w:rsidRPr="008909A4" w:rsidP="008909A4">
      <w:pPr>
        <w:pStyle w:val="ListBullet2"/>
      </w:pPr>
      <w:r w:rsidRPr="008909A4">
        <w:t>cyber security</w:t>
      </w:r>
    </w:p>
    <w:p w:rsidR="00000000" w:rsidRPr="008909A4" w:rsidP="008909A4">
      <w:pPr>
        <w:pStyle w:val="ListBullet2"/>
      </w:pPr>
      <w:r w:rsidRPr="008909A4">
        <w:t>communication of data and information.</w:t>
      </w:r>
    </w:p>
    <w:p w:rsidR="00000000" w:rsidRPr="008909A4" w:rsidP="008909A4">
      <w:pPr>
        <w:pStyle w:val="ListBullet"/>
      </w:pPr>
      <w:r w:rsidRPr="008909A4">
        <w:t>human resource responsibilities including strategies to monitor staff training needs and staff</w:t>
      </w:r>
      <w:r w:rsidRPr="008909A4">
        <w:t xml:space="preserve"> performance.</w:t>
      </w:r>
    </w:p>
    <w:p w:rsidR="00000000" w:rsidRPr="008909A4" w:rsidP="008909A4">
      <w:pPr>
        <w:pStyle w:val="AllowPageBreak"/>
      </w:pPr>
    </w:p>
    <w:p w:rsidR="00000000" w:rsidRPr="008909A4" w:rsidP="008909A4">
      <w:pPr>
        <w:pStyle w:val="Heading1"/>
      </w:pPr>
      <w:bookmarkStart w:id="4" w:name="O_1074904"/>
      <w:bookmarkEnd w:id="4"/>
      <w:r w:rsidRPr="008909A4">
        <w:t>Assessment Conditions</w:t>
      </w:r>
    </w:p>
    <w:p w:rsidR="00000000" w:rsidRPr="008909A4" w:rsidP="008C214E">
      <w:pPr>
        <w:pStyle w:val="BodyText"/>
      </w:pPr>
      <w:r w:rsidRPr="008909A4">
        <w:t xml:space="preserve">Skills in this unit must be demonstrated in a workplace or simulated environment where the conditions are typical of those in a working environment in this industry. </w:t>
      </w:r>
    </w:p>
    <w:p w:rsidR="00000000" w:rsidRPr="008909A4" w:rsidP="008C214E">
      <w:pPr>
        <w:pStyle w:val="BodyText"/>
      </w:pPr>
      <w:r w:rsidRPr="008909A4">
        <w:t>This includes access to:</w:t>
      </w:r>
    </w:p>
    <w:p w:rsidR="00000000" w:rsidRPr="008909A4" w:rsidP="008909A4">
      <w:pPr>
        <w:pStyle w:val="ListBullet"/>
      </w:pPr>
      <w:r w:rsidRPr="008909A4">
        <w:t>legislat</w:t>
      </w:r>
      <w:r w:rsidRPr="008909A4">
        <w:t>ion, regulations, standards and codes required to determine licence requirements</w:t>
      </w:r>
    </w:p>
    <w:p w:rsidR="00000000" w:rsidRPr="008909A4" w:rsidP="008909A4">
      <w:pPr>
        <w:pStyle w:val="ListBullet"/>
      </w:pPr>
      <w:r w:rsidRPr="008909A4">
        <w:t>office equipment, technology, software and consumables required to produce the performance evidence</w:t>
      </w:r>
    </w:p>
    <w:p w:rsidR="00000000" w:rsidRPr="008909A4" w:rsidP="008909A4">
      <w:pPr>
        <w:pStyle w:val="ListBullet"/>
      </w:pPr>
      <w:r w:rsidRPr="008909A4">
        <w:t>operating organisational software systems and data required to produce the performance evidence.</w:t>
      </w:r>
    </w:p>
    <w:p w:rsidR="00000000" w:rsidRPr="008909A4" w:rsidP="008909A4">
      <w:pPr>
        <w:pStyle w:val="BodyText"/>
      </w:pPr>
    </w:p>
    <w:p w:rsidR="00000000" w:rsidRPr="008909A4" w:rsidP="008C214E">
      <w:pPr>
        <w:pStyle w:val="BodyText"/>
      </w:pPr>
      <w:r w:rsidRPr="008909A4">
        <w:t>Assessors of this unit must satisfy the requirements for assessors in applicable vocational education and training legislation, frameworks and/or standards.</w:t>
      </w:r>
    </w:p>
    <w:p w:rsidR="00000000" w:rsidRPr="008909A4" w:rsidP="008909A4">
      <w:pPr>
        <w:pStyle w:val="Heading1"/>
      </w:pPr>
      <w:bookmarkStart w:id="5" w:name="O_1074907"/>
      <w:bookmarkEnd w:id="5"/>
      <w:r w:rsidRPr="008909A4">
        <w:t>Links</w:t>
      </w:r>
    </w:p>
    <w:p w:rsidR="00000000" w:rsidRPr="008909A4" w:rsidP="008C214E">
      <w:pPr>
        <w:pStyle w:val="BodyText"/>
      </w:pPr>
      <w:r w:rsidRPr="008909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496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09A4" w:rsidP="008909A4"/>
    <w:sectPr w:rsidSect="00890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A4" w:rsidRPr="008C214E" w:rsidP="008C2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4E" w:rsidP="00890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14E" w:rsidP="00890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214E" w:rsidP="00890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9A4" w:rsidRPr="008C214E" w:rsidP="008C2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4E" w:rsidRPr="002D2AF8" w:rsidP="00890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FNSFMK516 Review and confirm human resources and IT systems satisfy requirements of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C214E" w:rsidP="00890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82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E63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36A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9A4"/>
  </w:style>
  <w:style w:type="character" w:customStyle="1" w:styleId="Heading1Char">
    <w:name w:val="Heading 1 Char"/>
    <w:basedOn w:val="DefaultParagraphFont"/>
    <w:link w:val="Heading1"/>
    <w:rsid w:val="00890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9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9A4"/>
    <w:rPr>
      <w:b/>
      <w:spacing w:val="0"/>
    </w:rPr>
  </w:style>
  <w:style w:type="paragraph" w:styleId="ListBullet2">
    <w:name w:val="List Bullet 2"/>
    <w:basedOn w:val="List2"/>
    <w:rsid w:val="008909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9A4"/>
    <w:rPr>
      <w:i/>
    </w:rPr>
  </w:style>
  <w:style w:type="paragraph" w:styleId="Caption">
    <w:name w:val="caption"/>
    <w:basedOn w:val="BodyText"/>
    <w:next w:val="Normal"/>
    <w:qFormat/>
    <w:rsid w:val="00890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9A4"/>
  </w:style>
  <w:style w:type="paragraph" w:styleId="TableofFigures">
    <w:name w:val="table of figures"/>
    <w:basedOn w:val="Normal"/>
    <w:next w:val="Normal"/>
    <w:semiHidden/>
    <w:rsid w:val="00890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9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9A4"/>
    <w:rPr>
      <w:rFonts w:ascii="Wingdings" w:hAnsi="Wingdings"/>
    </w:rPr>
  </w:style>
  <w:style w:type="paragraph" w:customStyle="1" w:styleId="TableHeading">
    <w:name w:val="Table Heading"/>
    <w:basedOn w:val="HeadingBase"/>
    <w:rsid w:val="00890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9A4"/>
    <w:rPr>
      <w:color w:val="0033CC"/>
      <w:u w:val="none"/>
    </w:rPr>
  </w:style>
  <w:style w:type="paragraph" w:customStyle="1" w:styleId="BodyTextRight">
    <w:name w:val="Body Text Right"/>
    <w:basedOn w:val="BodyText"/>
    <w:rsid w:val="00890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9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9A4"/>
    <w:rPr>
      <w:sz w:val="32"/>
    </w:rPr>
  </w:style>
  <w:style w:type="paragraph" w:customStyle="1" w:styleId="HeadingProcedure">
    <w:name w:val="Heading Procedure"/>
    <w:basedOn w:val="HeadingBase"/>
    <w:next w:val="Normal"/>
    <w:rsid w:val="00890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9A4"/>
    <w:pPr>
      <w:spacing w:before="60" w:after="60"/>
    </w:pPr>
  </w:style>
  <w:style w:type="paragraph" w:styleId="ListContinue">
    <w:name w:val="List Continue"/>
    <w:basedOn w:val="List"/>
    <w:rsid w:val="008909A4"/>
    <w:pPr>
      <w:ind w:firstLine="0"/>
    </w:pPr>
  </w:style>
  <w:style w:type="paragraph" w:customStyle="1" w:styleId="ListNote">
    <w:name w:val="List Note"/>
    <w:basedOn w:val="List"/>
    <w:rsid w:val="00890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9A4"/>
    <w:rPr>
      <w:rFonts w:ascii="Courier New" w:hAnsi="Courier New"/>
    </w:rPr>
  </w:style>
  <w:style w:type="paragraph" w:customStyle="1" w:styleId="NoteBullet">
    <w:name w:val="Note Bullet"/>
    <w:basedOn w:val="Note"/>
    <w:rsid w:val="00890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9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9A4"/>
    <w:rPr>
      <w:b/>
      <w:smallCaps/>
    </w:rPr>
  </w:style>
  <w:style w:type="paragraph" w:customStyle="1" w:styleId="TableListNumber">
    <w:name w:val="Table List Number"/>
    <w:basedOn w:val="ListNumber"/>
    <w:rsid w:val="00890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9A4"/>
    <w:pPr>
      <w:numPr>
        <w:numId w:val="9"/>
      </w:numPr>
    </w:pPr>
  </w:style>
  <w:style w:type="paragraph" w:customStyle="1" w:styleId="ListAlpha2">
    <w:name w:val="List Alpha 2"/>
    <w:basedOn w:val="List2"/>
    <w:rsid w:val="008909A4"/>
    <w:pPr>
      <w:numPr>
        <w:numId w:val="8"/>
      </w:numPr>
    </w:pPr>
  </w:style>
  <w:style w:type="paragraph" w:styleId="List2">
    <w:name w:val="List 2"/>
    <w:basedOn w:val="BodyText"/>
    <w:rsid w:val="00890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9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9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9A4"/>
    <w:pPr>
      <w:numPr>
        <w:numId w:val="4"/>
      </w:numPr>
    </w:pPr>
  </w:style>
  <w:style w:type="paragraph" w:styleId="ListContinue2">
    <w:name w:val="List Continue 2"/>
    <w:basedOn w:val="List2"/>
    <w:rsid w:val="008909A4"/>
    <w:pPr>
      <w:ind w:firstLine="0"/>
    </w:pPr>
  </w:style>
  <w:style w:type="paragraph" w:styleId="ListContinue3">
    <w:name w:val="List Continue 3"/>
    <w:basedOn w:val="List3"/>
    <w:rsid w:val="008909A4"/>
    <w:pPr>
      <w:ind w:left="1021" w:firstLine="0"/>
    </w:pPr>
  </w:style>
  <w:style w:type="paragraph" w:styleId="ListContinue4">
    <w:name w:val="List Continue 4"/>
    <w:basedOn w:val="List4"/>
    <w:rsid w:val="008909A4"/>
    <w:pPr>
      <w:ind w:firstLine="0"/>
    </w:pPr>
  </w:style>
  <w:style w:type="paragraph" w:styleId="ListContinue5">
    <w:name w:val="List Continue 5"/>
    <w:basedOn w:val="List5"/>
    <w:rsid w:val="008909A4"/>
    <w:pPr>
      <w:ind w:firstLine="0"/>
    </w:pPr>
  </w:style>
  <w:style w:type="paragraph" w:styleId="ListNumber3">
    <w:name w:val="List Number 3"/>
    <w:basedOn w:val="List3"/>
    <w:rsid w:val="008909A4"/>
    <w:pPr>
      <w:numPr>
        <w:numId w:val="5"/>
      </w:numPr>
    </w:pPr>
  </w:style>
  <w:style w:type="paragraph" w:styleId="ListNumber4">
    <w:name w:val="List Number 4"/>
    <w:basedOn w:val="List4"/>
    <w:rsid w:val="008909A4"/>
    <w:pPr>
      <w:numPr>
        <w:numId w:val="6"/>
      </w:numPr>
    </w:pPr>
  </w:style>
  <w:style w:type="paragraph" w:styleId="ListNumber5">
    <w:name w:val="List Number 5"/>
    <w:basedOn w:val="List5"/>
    <w:rsid w:val="008909A4"/>
    <w:pPr>
      <w:numPr>
        <w:numId w:val="7"/>
      </w:numPr>
    </w:pPr>
  </w:style>
  <w:style w:type="paragraph" w:styleId="BlockText">
    <w:name w:val="Block Text"/>
    <w:basedOn w:val="Normal"/>
    <w:rsid w:val="00890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9A4"/>
    <w:rPr>
      <w:sz w:val="16"/>
      <w:vertAlign w:val="superscript"/>
    </w:rPr>
  </w:style>
  <w:style w:type="character" w:customStyle="1" w:styleId="Symbols">
    <w:name w:val="Symbols"/>
    <w:basedOn w:val="DefaultParagraphFont"/>
    <w:rsid w:val="008909A4"/>
    <w:rPr>
      <w:rFonts w:ascii="Symbol" w:hAnsi="Symbol"/>
    </w:rPr>
  </w:style>
  <w:style w:type="character" w:customStyle="1" w:styleId="MenuOptions">
    <w:name w:val="Menu Options"/>
    <w:basedOn w:val="DefaultParagraphFont"/>
    <w:rsid w:val="00890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9A4"/>
    <w:rPr>
      <w:b/>
    </w:rPr>
  </w:style>
  <w:style w:type="character" w:customStyle="1" w:styleId="Underlined">
    <w:name w:val="Underlined"/>
    <w:basedOn w:val="DefaultParagraphFont"/>
    <w:rsid w:val="008909A4"/>
    <w:rPr>
      <w:u w:val="single"/>
    </w:rPr>
  </w:style>
  <w:style w:type="paragraph" w:customStyle="1" w:styleId="TableBodyTextRight">
    <w:name w:val="Table Body Text Right"/>
    <w:basedOn w:val="TableBodyText"/>
    <w:rsid w:val="00890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9A4"/>
    <w:rPr>
      <w:sz w:val="18"/>
    </w:rPr>
  </w:style>
  <w:style w:type="paragraph" w:customStyle="1" w:styleId="BodySmallRight">
    <w:name w:val="Body Small Right"/>
    <w:basedOn w:val="BodyTextRight"/>
    <w:rsid w:val="008909A4"/>
    <w:rPr>
      <w:sz w:val="18"/>
      <w:szCs w:val="18"/>
    </w:rPr>
  </w:style>
  <w:style w:type="paragraph" w:customStyle="1" w:styleId="MarginEdition">
    <w:name w:val="Margin Edition"/>
    <w:basedOn w:val="MarginNote"/>
    <w:rsid w:val="00890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9A4"/>
    <w:rPr>
      <w:sz w:val="2"/>
      <w:szCs w:val="2"/>
    </w:rPr>
  </w:style>
  <w:style w:type="character" w:customStyle="1" w:styleId="Small">
    <w:name w:val="Small"/>
    <w:basedOn w:val="DefaultParagraphFont"/>
    <w:rsid w:val="008909A4"/>
    <w:rPr>
      <w:sz w:val="16"/>
    </w:rPr>
  </w:style>
  <w:style w:type="paragraph" w:customStyle="1" w:styleId="WideTable">
    <w:name w:val="Wide Table"/>
    <w:basedOn w:val="Normal"/>
    <w:rsid w:val="00890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9A4"/>
  </w:style>
  <w:style w:type="paragraph" w:styleId="Quote">
    <w:name w:val="Quote"/>
    <w:basedOn w:val="Heading1"/>
    <w:link w:val="QuoteChar"/>
    <w:qFormat/>
    <w:rsid w:val="00890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9A4"/>
    <w:pPr>
      <w:pageBreakBefore/>
    </w:pPr>
  </w:style>
  <w:style w:type="paragraph" w:customStyle="1" w:styleId="Border">
    <w:name w:val="Border"/>
    <w:basedOn w:val="Normal"/>
    <w:qFormat/>
    <w:rsid w:val="00890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9A4"/>
    <w:rPr>
      <w:u w:val="single"/>
    </w:rPr>
  </w:style>
  <w:style w:type="character" w:customStyle="1" w:styleId="BoldandItalics">
    <w:name w:val="Bold and Italics"/>
    <w:qFormat/>
    <w:rsid w:val="008909A4"/>
    <w:rPr>
      <w:b/>
      <w:i/>
      <w:u w:val="none"/>
    </w:rPr>
  </w:style>
  <w:style w:type="paragraph" w:styleId="BalloonText">
    <w:name w:val="Balloon Text"/>
    <w:basedOn w:val="Normal"/>
    <w:link w:val="BalloonTextChar"/>
    <w:rsid w:val="00890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9A4"/>
    <w:pPr>
      <w:spacing w:before="0" w:after="0"/>
    </w:pPr>
  </w:style>
  <w:style w:type="paragraph" w:customStyle="1" w:styleId="BodyTextBold">
    <w:name w:val="Body Text Bold"/>
    <w:basedOn w:val="BodyText"/>
    <w:qFormat/>
    <w:rsid w:val="008909A4"/>
    <w:rPr>
      <w:b/>
    </w:rPr>
  </w:style>
  <w:style w:type="character" w:styleId="Hyperlink">
    <w:name w:val="Hyperlink"/>
    <w:basedOn w:val="DefaultParagraphFont"/>
    <w:uiPriority w:val="99"/>
    <w:unhideWhenUsed/>
    <w:rsid w:val="008C2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2781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FNSFMK516 Review and confirm human resources and IT systems satisfy requirements of licence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2022-11-03T07:26:00Z</dcterms:modified>
</cp:coreProperties>
</file>