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711" w:rsidP="00D317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FNSFMK514 Complete confirmation and settlement processes</w:t>
      </w:r>
      <w:r>
        <w:fldChar w:fldCharType="end"/>
      </w:r>
    </w:p>
    <w:p w:rsidR="00D31711" w:rsidP="00D31711">
      <w:pPr>
        <w:pStyle w:val="Version"/>
        <w:sectPr w:rsidSect="00DD5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3F8" w:rsidP="00DD53F8">
      <w:pPr>
        <w:pStyle w:val="SuperHeading"/>
      </w:pPr>
      <w:r w:rsidRPr="00DD53F8">
        <w:t>Assessment Re</w:t>
      </w:r>
      <w:r w:rsidRPr="00DD53F8">
        <w:t>quirements for FNSFMK514 Complete confirmation and settlement processes</w:t>
      </w:r>
    </w:p>
    <w:p w:rsidR="00000000" w:rsidRPr="00DD53F8" w:rsidP="00DD53F8">
      <w:pPr>
        <w:pStyle w:val="Heading1"/>
      </w:pPr>
      <w:bookmarkStart w:id="1" w:name="O_1074863"/>
      <w:bookmarkEnd w:id="1"/>
      <w:r w:rsidRPr="00DD53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D5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3F8" w:rsidP="00DD53F8">
            <w:pPr>
              <w:pStyle w:val="BodyText"/>
            </w:pPr>
            <w:r w:rsidRPr="00DD53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3F8">
            <w:pPr>
              <w:pStyle w:val="BodyText"/>
              <w:rPr>
                <w:lang w:val="en-NZ"/>
              </w:rPr>
            </w:pPr>
            <w:r w:rsidRPr="00DD53F8">
              <w:rPr>
                <w:rStyle w:val="SpecialBold"/>
              </w:rPr>
              <w:t>Comments</w:t>
            </w:r>
          </w:p>
        </w:tc>
      </w:tr>
      <w:tr w:rsidTr="00DD5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3F8">
            <w:pPr>
              <w:pStyle w:val="BodyText"/>
              <w:rPr>
                <w:lang w:val="en-NZ"/>
              </w:rPr>
            </w:pPr>
            <w:r w:rsidRPr="00DD53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3F8" w:rsidP="00DD53F8">
            <w:pPr>
              <w:pStyle w:val="BodyText"/>
            </w:pPr>
            <w:r w:rsidRPr="00DD53F8">
              <w:t>This version first released with FNS Financial Services Training Package Version 4.0.</w:t>
            </w:r>
          </w:p>
        </w:tc>
      </w:tr>
    </w:tbl>
    <w:p w:rsidR="00000000" w:rsidRPr="00DD53F8" w:rsidP="00DD53F8">
      <w:pPr>
        <w:pStyle w:val="BodyText"/>
      </w:pPr>
    </w:p>
    <w:p w:rsidR="00000000" w:rsidRPr="00DD53F8" w:rsidP="00DD53F8">
      <w:pPr>
        <w:pStyle w:val="AllowPageBreak"/>
      </w:pPr>
    </w:p>
    <w:p w:rsidR="00000000" w:rsidRPr="00DD53F8" w:rsidP="00DD53F8">
      <w:pPr>
        <w:pStyle w:val="Heading1"/>
      </w:pPr>
      <w:bookmarkStart w:id="2" w:name="O_1074866"/>
      <w:bookmarkEnd w:id="2"/>
      <w:r w:rsidRPr="00DD53F8">
        <w:t>Performance Evidence</w:t>
      </w:r>
    </w:p>
    <w:p w:rsidR="00000000" w:rsidRPr="00DD53F8" w:rsidP="00D31711">
      <w:pPr>
        <w:pStyle w:val="BodyText"/>
      </w:pPr>
      <w:r w:rsidRPr="00DD53F8">
        <w:t>The candidate must demonstrate the ability to complete the tasks outlined in the elements, performance criteria and foundation skills of this unit, including evidence of the ability to:</w:t>
      </w:r>
    </w:p>
    <w:p w:rsidR="00000000" w:rsidRPr="00DD53F8" w:rsidP="00DD53F8">
      <w:pPr>
        <w:pStyle w:val="ListBullet"/>
      </w:pPr>
      <w:r w:rsidRPr="00DD53F8">
        <w:t>complete confirmation processes for at least two</w:t>
      </w:r>
      <w:r w:rsidRPr="00DD53F8">
        <w:t xml:space="preserve"> different transactions</w:t>
      </w:r>
    </w:p>
    <w:p w:rsidR="00000000" w:rsidRPr="00DD53F8" w:rsidP="00DD53F8">
      <w:pPr>
        <w:pStyle w:val="ListBullet"/>
      </w:pPr>
      <w:r w:rsidRPr="00DD53F8">
        <w:t>complete settlement processes for at least two different transactions</w:t>
      </w:r>
    </w:p>
    <w:p w:rsidR="00000000" w:rsidRPr="00DD53F8" w:rsidP="00DD53F8">
      <w:pPr>
        <w:pStyle w:val="ListBullet"/>
      </w:pPr>
      <w:r w:rsidRPr="00DD53F8">
        <w:t>document at least one event where settlement does not occur as required.</w:t>
      </w:r>
    </w:p>
    <w:p w:rsidR="00000000" w:rsidRPr="00DD53F8" w:rsidP="00DD53F8">
      <w:pPr>
        <w:pStyle w:val="BodyText"/>
      </w:pPr>
    </w:p>
    <w:p w:rsidR="00000000" w:rsidRPr="00DD53F8" w:rsidP="00D31711">
      <w:pPr>
        <w:pStyle w:val="BodyText"/>
      </w:pPr>
      <w:r w:rsidRPr="00DD53F8">
        <w:t>In course of the above work, the candidate must:</w:t>
      </w:r>
    </w:p>
    <w:p w:rsidR="00000000" w:rsidRPr="00DD53F8" w:rsidP="00DD53F8">
      <w:pPr>
        <w:pStyle w:val="ListBullet"/>
      </w:pPr>
      <w:r w:rsidRPr="00DD53F8">
        <w:t>resolve any discrepancies in the confirmations, following organisational processes and procedures</w:t>
      </w:r>
    </w:p>
    <w:p w:rsidR="00000000" w:rsidRPr="00DD53F8" w:rsidP="00DD53F8">
      <w:pPr>
        <w:pStyle w:val="ListBullet"/>
      </w:pPr>
      <w:r w:rsidRPr="00DD53F8">
        <w:t>communicate with required stakeholders within required timeframes to resolve uncertainties around the settlement process.</w:t>
      </w:r>
    </w:p>
    <w:p w:rsidR="00000000" w:rsidRPr="00DD53F8" w:rsidP="00DD53F8">
      <w:pPr>
        <w:pStyle w:val="AllowPageBreak"/>
      </w:pPr>
    </w:p>
    <w:p w:rsidR="00000000" w:rsidRPr="00DD53F8" w:rsidP="00DD53F8">
      <w:pPr>
        <w:pStyle w:val="Heading1"/>
      </w:pPr>
      <w:bookmarkStart w:id="3" w:name="O_1074865"/>
      <w:bookmarkEnd w:id="3"/>
      <w:r w:rsidRPr="00DD53F8">
        <w:t>Knowledge Evidenc</w:t>
      </w:r>
      <w:r w:rsidRPr="00DD53F8">
        <w:t>e</w:t>
      </w:r>
    </w:p>
    <w:p w:rsidR="00000000" w:rsidRPr="00DD53F8" w:rsidP="00D31711">
      <w:pPr>
        <w:pStyle w:val="BodyText"/>
      </w:pPr>
      <w:r w:rsidRPr="00DD53F8">
        <w:t>The candidate must be able to demonstrate knowledge to complete the tasks outlined in the elements, performance criteria and foundation skills of this unit, including knowledge of:</w:t>
      </w:r>
    </w:p>
    <w:p w:rsidR="00000000" w:rsidRPr="00DD53F8" w:rsidP="00DD53F8">
      <w:pPr>
        <w:pStyle w:val="ListBullet"/>
      </w:pPr>
      <w:r w:rsidRPr="00DD53F8">
        <w:t>organisational and industry confirmation and settlement systems and proc</w:t>
      </w:r>
      <w:r w:rsidRPr="00DD53F8">
        <w:t>edures</w:t>
      </w:r>
    </w:p>
    <w:p w:rsidR="00000000" w:rsidRPr="00DD53F8" w:rsidP="00DD53F8">
      <w:pPr>
        <w:pStyle w:val="ListBullet"/>
      </w:pPr>
      <w:r w:rsidRPr="00DD53F8">
        <w:t>key causes of discrepancies in confirmations</w:t>
      </w:r>
    </w:p>
    <w:p w:rsidR="00000000" w:rsidRPr="00DD53F8" w:rsidP="00DD53F8">
      <w:pPr>
        <w:pStyle w:val="ListBullet"/>
      </w:pPr>
      <w:r w:rsidRPr="00DD53F8">
        <w:t>validation systems and processes</w:t>
      </w:r>
    </w:p>
    <w:p w:rsidR="00000000" w:rsidRPr="00DD53F8" w:rsidP="00DD53F8">
      <w:pPr>
        <w:pStyle w:val="ListBullet"/>
      </w:pPr>
      <w:r w:rsidRPr="00DD53F8">
        <w:t>financial markets products including settlement processes, lifecycle of trades and accounting principles related to the product</w:t>
      </w:r>
    </w:p>
    <w:p w:rsidR="00000000" w:rsidRPr="00DD53F8" w:rsidP="00DD53F8">
      <w:pPr>
        <w:pStyle w:val="ListBullet"/>
      </w:pPr>
      <w:r w:rsidRPr="00DD53F8">
        <w:t>risks in the settlement process and consequ</w:t>
      </w:r>
      <w:r w:rsidRPr="00DD53F8">
        <w:t>ences of settlement risk</w:t>
      </w:r>
    </w:p>
    <w:p w:rsidR="00000000" w:rsidRPr="00DD53F8" w:rsidP="00DD53F8">
      <w:pPr>
        <w:pStyle w:val="ListBullet"/>
      </w:pPr>
      <w:r w:rsidRPr="00DD53F8">
        <w:t>integrated financial software systems and data</w:t>
      </w:r>
    </w:p>
    <w:p w:rsidR="00000000" w:rsidRPr="00DD53F8" w:rsidP="00DD53F8">
      <w:pPr>
        <w:pStyle w:val="ListBullet"/>
      </w:pPr>
      <w:r w:rsidRPr="00DD53F8">
        <w:t>methodologies for data interpretation and analysis</w:t>
      </w:r>
    </w:p>
    <w:p w:rsidR="00000000" w:rsidRPr="00DD53F8" w:rsidP="00DD53F8">
      <w:pPr>
        <w:pStyle w:val="ListBullet"/>
      </w:pPr>
      <w:r w:rsidRPr="00DD53F8">
        <w:t>purpose and key features of confirmation documentation, methods and processes.</w:t>
      </w:r>
    </w:p>
    <w:p w:rsidR="00000000" w:rsidRPr="00DD53F8" w:rsidP="00DD53F8">
      <w:pPr>
        <w:pStyle w:val="AllowPageBreak"/>
      </w:pPr>
    </w:p>
    <w:p w:rsidR="00000000" w:rsidRPr="00DD53F8" w:rsidP="00DD53F8">
      <w:pPr>
        <w:pStyle w:val="Heading1"/>
      </w:pPr>
      <w:bookmarkStart w:id="4" w:name="O_1074864"/>
      <w:bookmarkEnd w:id="4"/>
      <w:r w:rsidRPr="00DD53F8">
        <w:t>Assessment Conditions</w:t>
      </w:r>
    </w:p>
    <w:p w:rsidR="00000000" w:rsidRPr="00DD53F8" w:rsidP="00D31711">
      <w:pPr>
        <w:pStyle w:val="BodyText"/>
      </w:pPr>
      <w:r w:rsidRPr="00DD53F8">
        <w:t>Skills in thi</w:t>
      </w:r>
      <w:r w:rsidRPr="00DD53F8">
        <w:t>s unit must be demonstrated in a workplace or simulated environment where the conditions are typical of those in a working environment in this industry.</w:t>
      </w:r>
    </w:p>
    <w:p w:rsidR="00000000" w:rsidRPr="00DD53F8" w:rsidP="00D31711">
      <w:pPr>
        <w:pStyle w:val="BodyText"/>
      </w:pPr>
      <w:r w:rsidRPr="00DD53F8">
        <w:t>This includes access to:</w:t>
      </w:r>
    </w:p>
    <w:p w:rsidR="00000000" w:rsidRPr="00DD53F8" w:rsidP="00DD53F8">
      <w:pPr>
        <w:pStyle w:val="ListBullet"/>
      </w:pPr>
      <w:r w:rsidRPr="00DD53F8">
        <w:t>office equipment, technology, software and consumables required to produce th</w:t>
      </w:r>
      <w:r w:rsidRPr="00DD53F8">
        <w:t>e performance evidence</w:t>
      </w:r>
    </w:p>
    <w:p w:rsidR="00000000" w:rsidRPr="00DD53F8" w:rsidP="00DD53F8">
      <w:pPr>
        <w:pStyle w:val="ListBullet"/>
      </w:pPr>
      <w:r w:rsidRPr="00DD53F8">
        <w:t>an integrated financial software system and data.</w:t>
      </w:r>
    </w:p>
    <w:p w:rsidR="00000000" w:rsidRPr="00DD53F8" w:rsidP="00DD53F8">
      <w:pPr>
        <w:pStyle w:val="BodyText"/>
      </w:pPr>
    </w:p>
    <w:p w:rsidR="00000000" w:rsidRPr="00DD53F8" w:rsidP="00D31711">
      <w:pPr>
        <w:pStyle w:val="BodyText"/>
      </w:pPr>
      <w:r w:rsidRPr="00DD53F8">
        <w:t>Assessors of this unit must satisfy the requirements for assessors in applicable vocational education and training legislation, frameworks and/or standards.</w:t>
      </w:r>
    </w:p>
    <w:p w:rsidR="00000000" w:rsidRPr="00DD53F8" w:rsidP="00DD53F8">
      <w:pPr>
        <w:pStyle w:val="Heading1"/>
      </w:pPr>
      <w:bookmarkStart w:id="5" w:name="O_1074862"/>
      <w:bookmarkEnd w:id="5"/>
      <w:r w:rsidRPr="00DD53F8">
        <w:t>Links</w:t>
      </w:r>
    </w:p>
    <w:p w:rsidR="00000000" w:rsidRPr="00DD53F8" w:rsidP="00D31711">
      <w:pPr>
        <w:pStyle w:val="BodyText"/>
      </w:pPr>
      <w:r w:rsidRPr="00DD53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82CA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D53F8" w:rsidP="00DD53F8"/>
    <w:sectPr w:rsidSect="00DD53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3F8" w:rsidRPr="00D31711" w:rsidP="00D317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11" w:rsidP="00DD5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1711" w:rsidP="00DD5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1711" w:rsidP="00DD53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3F8" w:rsidRPr="00D31711" w:rsidP="00D317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11" w:rsidRPr="002D2AF8" w:rsidP="00DD5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FNSFMK514 Complete confirmation and settlement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31711" w:rsidP="00DD53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0C9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DAE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3F8"/>
  </w:style>
  <w:style w:type="character" w:customStyle="1" w:styleId="Heading1Char">
    <w:name w:val="Heading 1 Char"/>
    <w:basedOn w:val="DefaultParagraphFont"/>
    <w:link w:val="Heading1"/>
    <w:rsid w:val="00DD5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3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3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3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3F8"/>
    <w:rPr>
      <w:b/>
      <w:spacing w:val="0"/>
    </w:rPr>
  </w:style>
  <w:style w:type="paragraph" w:customStyle="1" w:styleId="SuperHeading">
    <w:name w:val="SuperHeading"/>
    <w:basedOn w:val="Normal"/>
    <w:rsid w:val="00DD53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3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3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3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3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53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5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3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3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3F8"/>
    <w:rPr>
      <w:i/>
    </w:rPr>
  </w:style>
  <w:style w:type="paragraph" w:styleId="Caption">
    <w:name w:val="caption"/>
    <w:basedOn w:val="BodyText"/>
    <w:next w:val="Normal"/>
    <w:qFormat/>
    <w:rsid w:val="00DD5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3F8"/>
  </w:style>
  <w:style w:type="paragraph" w:styleId="TableofFigures">
    <w:name w:val="table of figures"/>
    <w:basedOn w:val="Normal"/>
    <w:next w:val="Normal"/>
    <w:semiHidden/>
    <w:rsid w:val="00DD5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3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53F8"/>
    <w:rPr>
      <w:rFonts w:ascii="Wingdings" w:hAnsi="Wingdings"/>
    </w:rPr>
  </w:style>
  <w:style w:type="paragraph" w:customStyle="1" w:styleId="TableHeading">
    <w:name w:val="Table Heading"/>
    <w:basedOn w:val="HeadingBase"/>
    <w:rsid w:val="00DD5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3F8"/>
    <w:rPr>
      <w:color w:val="0033CC"/>
      <w:u w:val="none"/>
    </w:rPr>
  </w:style>
  <w:style w:type="paragraph" w:customStyle="1" w:styleId="BodyTextRight">
    <w:name w:val="Body Text Right"/>
    <w:basedOn w:val="BodyText"/>
    <w:rsid w:val="00DD5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3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3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3F8"/>
    <w:rPr>
      <w:sz w:val="32"/>
    </w:rPr>
  </w:style>
  <w:style w:type="paragraph" w:customStyle="1" w:styleId="HeadingProcedure">
    <w:name w:val="Heading Procedure"/>
    <w:basedOn w:val="HeadingBase"/>
    <w:next w:val="Normal"/>
    <w:rsid w:val="00DD5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3F8"/>
    <w:pPr>
      <w:spacing w:before="60" w:after="60"/>
    </w:pPr>
  </w:style>
  <w:style w:type="paragraph" w:styleId="ListContinue">
    <w:name w:val="List Continue"/>
    <w:basedOn w:val="List"/>
    <w:rsid w:val="00DD53F8"/>
    <w:pPr>
      <w:ind w:firstLine="0"/>
    </w:pPr>
  </w:style>
  <w:style w:type="paragraph" w:customStyle="1" w:styleId="ListNote">
    <w:name w:val="List Note"/>
    <w:basedOn w:val="List"/>
    <w:rsid w:val="00DD5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3F8"/>
    <w:rPr>
      <w:rFonts w:ascii="Courier New" w:hAnsi="Courier New"/>
    </w:rPr>
  </w:style>
  <w:style w:type="paragraph" w:customStyle="1" w:styleId="NoteBullet">
    <w:name w:val="Note Bullet"/>
    <w:basedOn w:val="Note"/>
    <w:rsid w:val="00DD5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3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5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3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3F8"/>
    <w:rPr>
      <w:b/>
      <w:smallCaps/>
    </w:rPr>
  </w:style>
  <w:style w:type="paragraph" w:customStyle="1" w:styleId="TableListNumber">
    <w:name w:val="Table List Number"/>
    <w:basedOn w:val="ListNumber"/>
    <w:rsid w:val="00DD5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3F8"/>
    <w:pPr>
      <w:numPr>
        <w:numId w:val="8"/>
      </w:numPr>
    </w:pPr>
  </w:style>
  <w:style w:type="paragraph" w:customStyle="1" w:styleId="ListAlpha2">
    <w:name w:val="List Alpha 2"/>
    <w:basedOn w:val="List2"/>
    <w:rsid w:val="00DD53F8"/>
    <w:pPr>
      <w:numPr>
        <w:numId w:val="7"/>
      </w:numPr>
    </w:pPr>
  </w:style>
  <w:style w:type="paragraph" w:styleId="List2">
    <w:name w:val="List 2"/>
    <w:basedOn w:val="BodyText"/>
    <w:rsid w:val="00DD5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3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3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53F8"/>
    <w:pPr>
      <w:numPr>
        <w:numId w:val="3"/>
      </w:numPr>
    </w:pPr>
  </w:style>
  <w:style w:type="paragraph" w:styleId="ListContinue2">
    <w:name w:val="List Continue 2"/>
    <w:basedOn w:val="List2"/>
    <w:rsid w:val="00DD53F8"/>
    <w:pPr>
      <w:ind w:firstLine="0"/>
    </w:pPr>
  </w:style>
  <w:style w:type="paragraph" w:styleId="ListContinue3">
    <w:name w:val="List Continue 3"/>
    <w:basedOn w:val="List3"/>
    <w:rsid w:val="00DD53F8"/>
    <w:pPr>
      <w:ind w:left="1021" w:firstLine="0"/>
    </w:pPr>
  </w:style>
  <w:style w:type="paragraph" w:styleId="ListContinue4">
    <w:name w:val="List Continue 4"/>
    <w:basedOn w:val="List4"/>
    <w:rsid w:val="00DD53F8"/>
    <w:pPr>
      <w:ind w:firstLine="0"/>
    </w:pPr>
  </w:style>
  <w:style w:type="paragraph" w:styleId="ListContinue5">
    <w:name w:val="List Continue 5"/>
    <w:basedOn w:val="List5"/>
    <w:rsid w:val="00DD53F8"/>
    <w:pPr>
      <w:ind w:firstLine="0"/>
    </w:pPr>
  </w:style>
  <w:style w:type="paragraph" w:styleId="ListNumber3">
    <w:name w:val="List Number 3"/>
    <w:basedOn w:val="List3"/>
    <w:rsid w:val="00DD53F8"/>
    <w:pPr>
      <w:numPr>
        <w:numId w:val="4"/>
      </w:numPr>
    </w:pPr>
  </w:style>
  <w:style w:type="paragraph" w:styleId="ListNumber4">
    <w:name w:val="List Number 4"/>
    <w:basedOn w:val="List4"/>
    <w:rsid w:val="00DD53F8"/>
    <w:pPr>
      <w:numPr>
        <w:numId w:val="5"/>
      </w:numPr>
    </w:pPr>
  </w:style>
  <w:style w:type="paragraph" w:styleId="ListNumber5">
    <w:name w:val="List Number 5"/>
    <w:basedOn w:val="List5"/>
    <w:rsid w:val="00DD53F8"/>
    <w:pPr>
      <w:numPr>
        <w:numId w:val="6"/>
      </w:numPr>
    </w:pPr>
  </w:style>
  <w:style w:type="paragraph" w:styleId="BlockText">
    <w:name w:val="Block Text"/>
    <w:basedOn w:val="Normal"/>
    <w:rsid w:val="00DD5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3F8"/>
    <w:rPr>
      <w:sz w:val="16"/>
      <w:vertAlign w:val="superscript"/>
    </w:rPr>
  </w:style>
  <w:style w:type="character" w:customStyle="1" w:styleId="Symbols">
    <w:name w:val="Symbols"/>
    <w:basedOn w:val="DefaultParagraphFont"/>
    <w:rsid w:val="00DD53F8"/>
    <w:rPr>
      <w:rFonts w:ascii="Symbol" w:hAnsi="Symbol"/>
    </w:rPr>
  </w:style>
  <w:style w:type="character" w:customStyle="1" w:styleId="MenuOptions">
    <w:name w:val="Menu Options"/>
    <w:basedOn w:val="DefaultParagraphFont"/>
    <w:rsid w:val="00DD5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3F8"/>
    <w:rPr>
      <w:b/>
    </w:rPr>
  </w:style>
  <w:style w:type="character" w:customStyle="1" w:styleId="Underlined">
    <w:name w:val="Underlined"/>
    <w:basedOn w:val="DefaultParagraphFont"/>
    <w:rsid w:val="00DD53F8"/>
    <w:rPr>
      <w:u w:val="single"/>
    </w:rPr>
  </w:style>
  <w:style w:type="paragraph" w:customStyle="1" w:styleId="TableBodyTextRight">
    <w:name w:val="Table Body Text Right"/>
    <w:basedOn w:val="TableBodyText"/>
    <w:rsid w:val="00DD5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3F8"/>
    <w:rPr>
      <w:sz w:val="18"/>
    </w:rPr>
  </w:style>
  <w:style w:type="paragraph" w:customStyle="1" w:styleId="BodySmallRight">
    <w:name w:val="Body Small Right"/>
    <w:basedOn w:val="BodyTextRight"/>
    <w:rsid w:val="00DD53F8"/>
    <w:rPr>
      <w:sz w:val="18"/>
      <w:szCs w:val="18"/>
    </w:rPr>
  </w:style>
  <w:style w:type="paragraph" w:customStyle="1" w:styleId="MarginEdition">
    <w:name w:val="Margin Edition"/>
    <w:basedOn w:val="MarginNote"/>
    <w:rsid w:val="00DD5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3F8"/>
    <w:rPr>
      <w:sz w:val="2"/>
      <w:szCs w:val="2"/>
    </w:rPr>
  </w:style>
  <w:style w:type="character" w:customStyle="1" w:styleId="Small">
    <w:name w:val="Small"/>
    <w:basedOn w:val="DefaultParagraphFont"/>
    <w:rsid w:val="00DD53F8"/>
    <w:rPr>
      <w:sz w:val="16"/>
    </w:rPr>
  </w:style>
  <w:style w:type="paragraph" w:customStyle="1" w:styleId="WideTable">
    <w:name w:val="Wide Table"/>
    <w:basedOn w:val="Normal"/>
    <w:rsid w:val="00DD5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3F8"/>
  </w:style>
  <w:style w:type="paragraph" w:styleId="Quote">
    <w:name w:val="Quote"/>
    <w:basedOn w:val="Heading1"/>
    <w:link w:val="QuoteChar"/>
    <w:qFormat/>
    <w:rsid w:val="00DD5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3F8"/>
    <w:pPr>
      <w:pageBreakBefore/>
    </w:pPr>
  </w:style>
  <w:style w:type="paragraph" w:customStyle="1" w:styleId="Border">
    <w:name w:val="Border"/>
    <w:basedOn w:val="Normal"/>
    <w:qFormat/>
    <w:rsid w:val="00DD5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3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3F8"/>
    <w:rPr>
      <w:u w:val="single"/>
    </w:rPr>
  </w:style>
  <w:style w:type="character" w:customStyle="1" w:styleId="BoldandItalics">
    <w:name w:val="Bold and Italics"/>
    <w:qFormat/>
    <w:rsid w:val="00DD53F8"/>
    <w:rPr>
      <w:b/>
      <w:i/>
      <w:u w:val="none"/>
    </w:rPr>
  </w:style>
  <w:style w:type="paragraph" w:styleId="BalloonText">
    <w:name w:val="Balloon Text"/>
    <w:basedOn w:val="Normal"/>
    <w:link w:val="BalloonTextChar"/>
    <w:rsid w:val="00DD5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3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3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3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3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3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3F8"/>
    <w:pPr>
      <w:spacing w:before="0" w:after="0"/>
    </w:pPr>
  </w:style>
  <w:style w:type="paragraph" w:customStyle="1" w:styleId="BodyTextBold">
    <w:name w:val="Body Text Bold"/>
    <w:basedOn w:val="BodyText"/>
    <w:qFormat/>
    <w:rsid w:val="00DD53F8"/>
    <w:rPr>
      <w:b/>
    </w:rPr>
  </w:style>
  <w:style w:type="character" w:styleId="Hyperlink">
    <w:name w:val="Hyperlink"/>
    <w:basedOn w:val="DefaultParagraphFont"/>
    <w:uiPriority w:val="99"/>
    <w:unhideWhenUsed/>
    <w:rsid w:val="00D317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2253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FNSFMK514 Complete confirmation and settlement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