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38E" w:rsidP="00250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FNSFMK512 Apply knowledge of emissions markets</w:t>
      </w:r>
      <w:r>
        <w:fldChar w:fldCharType="end"/>
      </w:r>
    </w:p>
    <w:p w:rsidR="0025038E" w:rsidP="0025038E">
      <w:pPr>
        <w:pStyle w:val="Version"/>
        <w:sectPr w:rsidSect="00743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037" w:rsidP="00743037">
      <w:pPr>
        <w:pStyle w:val="SuperHeading"/>
      </w:pPr>
      <w:r w:rsidRPr="00743037">
        <w:t>Assessment Requirements for FNSFMK512 Apply knowledge of emissions markets</w:t>
      </w:r>
    </w:p>
    <w:p w:rsidR="00000000" w:rsidRPr="00743037" w:rsidP="00743037">
      <w:pPr>
        <w:pStyle w:val="Heading1"/>
      </w:pPr>
      <w:bookmarkStart w:id="1" w:name="O_676502"/>
      <w:bookmarkEnd w:id="1"/>
      <w:r w:rsidRPr="007430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037" w:rsidP="00743037">
            <w:pPr>
              <w:pStyle w:val="BodyText"/>
            </w:pPr>
            <w:r w:rsidRPr="007430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037">
            <w:pPr>
              <w:pStyle w:val="BodyText"/>
              <w:rPr>
                <w:lang w:val="en-NZ"/>
              </w:rPr>
            </w:pPr>
            <w:r w:rsidRPr="00743037">
              <w:rPr>
                <w:rStyle w:val="SpecialBold"/>
              </w:rPr>
              <w:t>Comments</w:t>
            </w:r>
          </w:p>
        </w:tc>
      </w:tr>
      <w:tr w:rsidTr="0074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037">
            <w:pPr>
              <w:pStyle w:val="BodyText"/>
              <w:rPr>
                <w:lang w:val="en-NZ"/>
              </w:rPr>
            </w:pPr>
            <w:r w:rsidRPr="007430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037" w:rsidP="00743037">
            <w:pPr>
              <w:pStyle w:val="BodyText"/>
            </w:pPr>
            <w:r w:rsidRPr="00743037">
              <w:t>This version first released with FNS Financial Services Training Package Version 1.0.</w:t>
            </w:r>
          </w:p>
        </w:tc>
      </w:tr>
    </w:tbl>
    <w:p w:rsidR="00000000" w:rsidRPr="00743037" w:rsidP="00743037">
      <w:pPr>
        <w:pStyle w:val="BodyText"/>
      </w:pPr>
    </w:p>
    <w:p w:rsidR="00000000" w:rsidRPr="00743037" w:rsidP="00743037">
      <w:pPr>
        <w:pStyle w:val="AllowPageBreak"/>
      </w:pPr>
    </w:p>
    <w:p w:rsidR="00000000" w:rsidRPr="00743037" w:rsidP="00743037">
      <w:pPr>
        <w:pStyle w:val="Heading1"/>
      </w:pPr>
      <w:bookmarkStart w:id="2" w:name="O_676503"/>
      <w:bookmarkEnd w:id="2"/>
      <w:r w:rsidRPr="00743037">
        <w:t>Performance Evidence</w:t>
      </w:r>
    </w:p>
    <w:p w:rsidR="00000000" w:rsidRPr="00743037" w:rsidP="0025038E">
      <w:pPr>
        <w:pStyle w:val="BodyText"/>
      </w:pPr>
      <w:r w:rsidRPr="00743037">
        <w:t>Evidence of the ability to:</w:t>
      </w:r>
    </w:p>
    <w:p w:rsidR="00000000" w:rsidRPr="00743037" w:rsidP="00743037">
      <w:pPr>
        <w:pStyle w:val="ListBullet"/>
      </w:pPr>
      <w:r w:rsidRPr="00743037">
        <w:t>research, analyse and update information, including regulatory changes impacting on emissions markets and operations</w:t>
      </w:r>
    </w:p>
    <w:p w:rsidR="00000000" w:rsidRPr="00743037" w:rsidP="00743037">
      <w:pPr>
        <w:pStyle w:val="ListBullet"/>
      </w:pPr>
      <w:r w:rsidRPr="00743037">
        <w:t xml:space="preserve">provide and apply specialist knowledge relating to emissions markets to daily work. </w:t>
      </w:r>
    </w:p>
    <w:p w:rsidR="00000000" w:rsidRPr="00743037" w:rsidP="00743037">
      <w:pPr>
        <w:pStyle w:val="BodyText"/>
      </w:pPr>
    </w:p>
    <w:p w:rsidR="00000000" w:rsidRPr="00743037" w:rsidP="0025038E">
      <w:pPr>
        <w:pStyle w:val="BodyText"/>
      </w:pPr>
      <w:r w:rsidRPr="00743037">
        <w:t>Note: If a specific volume or frequency is not stated, then evidence must be provided at least once.</w:t>
      </w:r>
    </w:p>
    <w:p w:rsidR="00000000" w:rsidRPr="00743037" w:rsidP="00743037">
      <w:pPr>
        <w:pStyle w:val="Heading1"/>
      </w:pPr>
      <w:bookmarkStart w:id="3" w:name="O_676504"/>
      <w:bookmarkEnd w:id="3"/>
      <w:r w:rsidRPr="00743037">
        <w:t>Knowledge Evidence</w:t>
      </w:r>
    </w:p>
    <w:p w:rsidR="00000000" w:rsidRPr="00743037" w:rsidP="0025038E">
      <w:pPr>
        <w:pStyle w:val="BodyText"/>
      </w:pPr>
      <w:r w:rsidRPr="00743037">
        <w:t>To complete the unit requirements safely and effectively, the individual must:</w:t>
      </w:r>
    </w:p>
    <w:p w:rsidR="00000000" w:rsidRPr="00743037" w:rsidP="00743037">
      <w:pPr>
        <w:pStyle w:val="ListBullet"/>
      </w:pPr>
      <w:r w:rsidRPr="00743037">
        <w:t xml:space="preserve">analyse and describe types of products </w:t>
      </w:r>
      <w:r w:rsidRPr="00743037">
        <w:t>and their characteristics including:</w:t>
      </w:r>
    </w:p>
    <w:p w:rsidR="00000000" w:rsidRPr="00743037" w:rsidP="00743037">
      <w:pPr>
        <w:pStyle w:val="ListBullet2"/>
      </w:pPr>
      <w:r w:rsidRPr="00743037">
        <w:t>types of emissions units, and their characteristics (encompassing carbon units, Australian carbon credit units and eligible international emissions units)</w:t>
      </w:r>
    </w:p>
    <w:p w:rsidR="00000000" w:rsidRPr="00743037" w:rsidP="00743037">
      <w:pPr>
        <w:pStyle w:val="ListBullet2"/>
      </w:pPr>
      <w:r w:rsidRPr="00743037">
        <w:t>characteristics of emissions units including their status as pe</w:t>
      </w:r>
      <w:r w:rsidRPr="00743037">
        <w:t>rsonal property, and how they are typically derived from inception to the point of acquiring status as a financial product</w:t>
      </w:r>
    </w:p>
    <w:p w:rsidR="00000000" w:rsidRPr="00743037" w:rsidP="00743037">
      <w:pPr>
        <w:pStyle w:val="ListBullet2"/>
      </w:pPr>
      <w:r w:rsidRPr="00743037">
        <w:t>risks associated with each type of emission unit, including rating, restrictions on their use, transfer and bankability for future us</w:t>
      </w:r>
      <w:r w:rsidRPr="00743037">
        <w:t>e</w:t>
      </w:r>
    </w:p>
    <w:p w:rsidR="00000000" w:rsidRPr="00743037" w:rsidP="00743037">
      <w:pPr>
        <w:pStyle w:val="ListBullet2"/>
      </w:pPr>
      <w:r w:rsidRPr="00743037">
        <w:t>processes for acquiring, transferring and surrendering emissions units, including compliance with the requirements of the Australian National Registry of Emissions Units</w:t>
      </w:r>
    </w:p>
    <w:p w:rsidR="00000000" w:rsidRPr="00743037" w:rsidP="00743037">
      <w:pPr>
        <w:pStyle w:val="ListBullet"/>
      </w:pPr>
      <w:r w:rsidRPr="00743037">
        <w:t>outline the operation of regulated and voluntary carbon markets including:</w:t>
      </w:r>
    </w:p>
    <w:p w:rsidR="00000000" w:rsidRPr="00743037" w:rsidP="00743037">
      <w:pPr>
        <w:pStyle w:val="ListBullet2"/>
      </w:pPr>
      <w:r w:rsidRPr="00743037">
        <w:t xml:space="preserve">geopolitical context of carbon markets, including the influence of political and economic factors and corporate social responsibility </w:t>
      </w:r>
    </w:p>
    <w:p w:rsidR="00000000" w:rsidRPr="00743037" w:rsidP="00743037">
      <w:pPr>
        <w:pStyle w:val="ListBullet2"/>
      </w:pPr>
      <w:r w:rsidRPr="00743037">
        <w:t xml:space="preserve">main participants in carbon markets, and their key objectives and participation behaviours as factors influencing market </w:t>
      </w:r>
      <w:r w:rsidRPr="00743037">
        <w:t>activity</w:t>
      </w:r>
    </w:p>
    <w:p w:rsidR="00000000" w:rsidRPr="00743037" w:rsidP="00743037">
      <w:pPr>
        <w:pStyle w:val="ListBullet2"/>
      </w:pPr>
      <w:r w:rsidRPr="00743037">
        <w:t>emissions unit supply and demand factors and regulated price factors influencing market activity and prices</w:t>
      </w:r>
    </w:p>
    <w:p w:rsidR="00000000" w:rsidRPr="00743037" w:rsidP="00743037">
      <w:pPr>
        <w:pStyle w:val="ListBullet2"/>
      </w:pPr>
      <w:r w:rsidRPr="00743037">
        <w:t>issue of carbon units via auction, and auction types</w:t>
      </w:r>
    </w:p>
    <w:p w:rsidR="00000000" w:rsidRPr="00743037" w:rsidP="00743037">
      <w:pPr>
        <w:pStyle w:val="ListBullet2"/>
      </w:pPr>
      <w:r w:rsidRPr="00743037">
        <w:t>types of transactions in carbon markets, including transactions relating to the carbon</w:t>
      </w:r>
      <w:r w:rsidRPr="00743037">
        <w:t xml:space="preserve"> pricing mechanism and in voluntary markets, and the function of financial markets facilitating such trading (including internationally)</w:t>
      </w:r>
    </w:p>
    <w:p w:rsidR="00000000" w:rsidRPr="00743037" w:rsidP="00743037">
      <w:pPr>
        <w:pStyle w:val="ListBullet2"/>
      </w:pPr>
      <w:r w:rsidRPr="00743037">
        <w:t>potential trading strategies and their implementation in carbon markets (e.g. hedging and investment strategies)</w:t>
      </w:r>
    </w:p>
    <w:p w:rsidR="00000000" w:rsidRPr="00743037" w:rsidP="00743037">
      <w:pPr>
        <w:pStyle w:val="ListBullet2"/>
      </w:pPr>
      <w:r w:rsidRPr="00743037">
        <w:t xml:space="preserve">risks </w:t>
      </w:r>
      <w:r w:rsidRPr="00743037">
        <w:t>associated with carbon markets, including liquidity, pricing, credit, operational and regulatory risks</w:t>
      </w:r>
    </w:p>
    <w:p w:rsidR="00000000" w:rsidRPr="00743037" w:rsidP="00743037">
      <w:pPr>
        <w:pStyle w:val="ListBullet2"/>
      </w:pPr>
      <w:r w:rsidRPr="00743037">
        <w:t>carbon market transaction documentation, including documentation used for different types of counterparties and transactions, their key terms and conditi</w:t>
      </w:r>
      <w:r w:rsidRPr="00743037">
        <w:t>ons, and advantages and disadvantages</w:t>
      </w:r>
    </w:p>
    <w:p w:rsidR="00000000" w:rsidRPr="00743037" w:rsidP="00743037">
      <w:pPr>
        <w:pStyle w:val="ListBullet"/>
      </w:pPr>
      <w:r w:rsidRPr="00743037">
        <w:t>explain the regulated emissions legal environment including disclosure and compliance, covering:</w:t>
      </w:r>
    </w:p>
    <w:p w:rsidR="00000000" w:rsidRPr="00743037" w:rsidP="00743037">
      <w:pPr>
        <w:pStyle w:val="ListBullet2"/>
      </w:pPr>
      <w:r w:rsidRPr="00743037">
        <w:t>domestic regulatory framework for the carbon pricing mechanism, including the role of the Clean Energy Regulator and th</w:t>
      </w:r>
      <w:r w:rsidRPr="00743037">
        <w:t>e Australian National Registry of Emissions Units</w:t>
      </w:r>
    </w:p>
    <w:p w:rsidR="00000000" w:rsidRPr="00743037" w:rsidP="00743037">
      <w:pPr>
        <w:pStyle w:val="ListBullet2"/>
      </w:pPr>
      <w:r w:rsidRPr="00743037">
        <w:t>domestic regulatory framework for the Carbon Farming Initiative, including the role of the Clean Energy Regulator and the Australian National Registry of Emissions Units</w:t>
      </w:r>
    </w:p>
    <w:p w:rsidR="00000000" w:rsidRPr="00743037" w:rsidP="00743037">
      <w:pPr>
        <w:pStyle w:val="ListBullet2"/>
      </w:pPr>
      <w:r w:rsidRPr="00743037">
        <w:t>international regulatory framework f</w:t>
      </w:r>
      <w:r w:rsidRPr="00743037">
        <w:t>or carbon trading, including the Clean Development Mechanism</w:t>
      </w:r>
    </w:p>
    <w:p w:rsidR="00000000" w:rsidRPr="00743037" w:rsidP="00743037">
      <w:pPr>
        <w:pStyle w:val="ListBullet2"/>
      </w:pPr>
      <w:r w:rsidRPr="00743037">
        <w:t>relevant legal principles (e.g. Corporations Act, ASIC Act, Privacy Amendment (Private Sector) Act, Australian National Registry of Emissions Units Act, National Greenhouse and Energy Reporting A</w:t>
      </w:r>
      <w:r w:rsidRPr="00743037">
        <w:t>ct, Carbon Credits (Carbon Farming Initiative) Act, Clean Energy Act)</w:t>
      </w:r>
    </w:p>
    <w:p w:rsidR="00000000" w:rsidRPr="00743037" w:rsidP="00743037">
      <w:pPr>
        <w:pStyle w:val="ListBullet2"/>
      </w:pPr>
      <w:r w:rsidRPr="00743037">
        <w:t>the relationship between ethical and regulatory requirements (e.g. good faith, utmost good faith, full disclosure of remuneration and/or fees and any other conflicts of interest that may influence the adviser’s recommendation), and the application of these</w:t>
      </w:r>
      <w:r w:rsidRPr="00743037">
        <w:t xml:space="preserve"> requirements in professional practice </w:t>
      </w:r>
    </w:p>
    <w:p w:rsidR="00000000" w:rsidRPr="00743037" w:rsidP="00743037">
      <w:pPr>
        <w:pStyle w:val="ListBullet2"/>
      </w:pPr>
      <w:r w:rsidRPr="00743037">
        <w:t>relevant industry standards and codes of conduct</w:t>
      </w:r>
    </w:p>
    <w:p w:rsidR="00000000" w:rsidRPr="00743037" w:rsidP="00743037">
      <w:pPr>
        <w:pStyle w:val="ListBullet2"/>
      </w:pPr>
      <w:r w:rsidRPr="00743037">
        <w:t>regulators’ guidelines, including ASIC Regulatory Guide (RG)146  requirements</w:t>
      </w:r>
    </w:p>
    <w:p w:rsidR="00000000" w:rsidRPr="00743037" w:rsidP="00743037">
      <w:pPr>
        <w:pStyle w:val="ListBullet2"/>
      </w:pPr>
      <w:r w:rsidRPr="00743037">
        <w:t>dispute resolution procedures (external and internal)</w:t>
      </w:r>
    </w:p>
    <w:p w:rsidR="00000000" w:rsidRPr="00743037" w:rsidP="00743037">
      <w:pPr>
        <w:pStyle w:val="ListBullet"/>
      </w:pPr>
      <w:r w:rsidRPr="00743037">
        <w:t>outline the taxation obligations i</w:t>
      </w:r>
      <w:r w:rsidRPr="00743037">
        <w:t>n the emissions market including:</w:t>
      </w:r>
    </w:p>
    <w:p w:rsidR="00000000" w:rsidRPr="00743037" w:rsidP="00743037">
      <w:pPr>
        <w:pStyle w:val="ListBullet2"/>
      </w:pPr>
      <w:r w:rsidRPr="00743037">
        <w:t>taxation treatment of emissions units and taxation issues relating to emissions units</w:t>
      </w:r>
    </w:p>
    <w:p w:rsidR="00000000" w:rsidRPr="00743037" w:rsidP="00743037">
      <w:pPr>
        <w:pStyle w:val="ListBullet2"/>
      </w:pPr>
      <w:r w:rsidRPr="00743037">
        <w:t>deductibility of costs associated with emissions units.</w:t>
      </w:r>
    </w:p>
    <w:p w:rsidR="00000000" w:rsidRPr="00743037" w:rsidP="00743037">
      <w:pPr>
        <w:pStyle w:val="AllowPageBreak"/>
      </w:pPr>
    </w:p>
    <w:p w:rsidR="00000000" w:rsidRPr="00743037" w:rsidP="00743037">
      <w:pPr>
        <w:pStyle w:val="Heading1"/>
      </w:pPr>
      <w:bookmarkStart w:id="4" w:name="O_676505"/>
      <w:bookmarkEnd w:id="4"/>
      <w:r w:rsidRPr="00743037">
        <w:t>Assessment Conditions</w:t>
      </w:r>
    </w:p>
    <w:p w:rsidR="00000000" w:rsidRPr="00743037" w:rsidP="0025038E">
      <w:pPr>
        <w:pStyle w:val="BodyText"/>
      </w:pPr>
      <w:r w:rsidRPr="00743037">
        <w:t>Assessment must be conducted in a safe e</w:t>
      </w:r>
      <w:r w:rsidRPr="00743037">
        <w:t>nvironment where evidence gathered demonstrates consistent performance of typical activities experienced in the financial markets field of work and include access to:</w:t>
      </w:r>
    </w:p>
    <w:p w:rsidR="00000000" w:rsidRPr="00743037" w:rsidP="00743037">
      <w:pPr>
        <w:pStyle w:val="ListBullet"/>
      </w:pPr>
      <w:r w:rsidRPr="00743037">
        <w:t>office equipment, technology, software and consumables</w:t>
      </w:r>
    </w:p>
    <w:p w:rsidR="00000000" w:rsidRPr="00743037" w:rsidP="00743037">
      <w:pPr>
        <w:pStyle w:val="ListBullet"/>
      </w:pPr>
      <w:r w:rsidRPr="00743037">
        <w:t>emissions markets information.</w:t>
      </w:r>
    </w:p>
    <w:p w:rsidR="00000000" w:rsidRPr="00743037" w:rsidP="00743037">
      <w:pPr>
        <w:pStyle w:val="BodyText"/>
      </w:pPr>
    </w:p>
    <w:p w:rsidR="00000000" w:rsidRPr="00743037" w:rsidP="0025038E">
      <w:pPr>
        <w:pStyle w:val="BodyText"/>
      </w:pPr>
      <w:r w:rsidRPr="00743037">
        <w:t>Assessors must satisfy NVR/AQF assessor requirements.</w:t>
      </w:r>
    </w:p>
    <w:p w:rsidR="00000000" w:rsidRPr="00743037" w:rsidP="00743037">
      <w:pPr>
        <w:pStyle w:val="Heading1"/>
      </w:pPr>
      <w:bookmarkStart w:id="5" w:name="O_676508"/>
      <w:bookmarkEnd w:id="5"/>
      <w:r w:rsidRPr="00743037">
        <w:t>Links</w:t>
      </w:r>
    </w:p>
    <w:p w:rsidR="00000000" w:rsidRPr="00743037" w:rsidP="0025038E">
      <w:pPr>
        <w:pStyle w:val="BodyText"/>
      </w:pPr>
      <w:r w:rsidRPr="007430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A6E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43037" w:rsidP="00743037"/>
    <w:sectPr w:rsidSect="007430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37" w:rsidRPr="0025038E" w:rsidP="00250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8E" w:rsidP="00743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38E" w:rsidP="00743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038E" w:rsidP="00743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037" w:rsidRPr="0025038E" w:rsidP="00250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38E" w:rsidRPr="002D2AF8" w:rsidP="00743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FNSFMK512 Apply knowledge of emissions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038E" w:rsidP="00743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80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2A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C9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037"/>
  </w:style>
  <w:style w:type="character" w:customStyle="1" w:styleId="Heading1Char">
    <w:name w:val="Heading 1 Char"/>
    <w:basedOn w:val="DefaultParagraphFont"/>
    <w:link w:val="Heading1"/>
    <w:rsid w:val="00743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0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037"/>
    <w:rPr>
      <w:b/>
      <w:spacing w:val="0"/>
    </w:rPr>
  </w:style>
  <w:style w:type="paragraph" w:styleId="ListBullet2">
    <w:name w:val="List Bullet 2"/>
    <w:basedOn w:val="List2"/>
    <w:rsid w:val="007430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0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037"/>
    <w:rPr>
      <w:i/>
    </w:rPr>
  </w:style>
  <w:style w:type="paragraph" w:styleId="Caption">
    <w:name w:val="caption"/>
    <w:basedOn w:val="BodyText"/>
    <w:next w:val="Normal"/>
    <w:qFormat/>
    <w:rsid w:val="00743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037"/>
  </w:style>
  <w:style w:type="paragraph" w:styleId="TableofFigures">
    <w:name w:val="table of figures"/>
    <w:basedOn w:val="Normal"/>
    <w:next w:val="Normal"/>
    <w:semiHidden/>
    <w:rsid w:val="00743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0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037"/>
    <w:rPr>
      <w:rFonts w:ascii="Wingdings" w:hAnsi="Wingdings"/>
    </w:rPr>
  </w:style>
  <w:style w:type="paragraph" w:customStyle="1" w:styleId="TableHeading">
    <w:name w:val="Table Heading"/>
    <w:basedOn w:val="HeadingBase"/>
    <w:rsid w:val="00743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037"/>
    <w:rPr>
      <w:color w:val="0033CC"/>
      <w:u w:val="none"/>
    </w:rPr>
  </w:style>
  <w:style w:type="paragraph" w:customStyle="1" w:styleId="BodyTextRight">
    <w:name w:val="Body Text Right"/>
    <w:basedOn w:val="BodyText"/>
    <w:rsid w:val="00743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0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037"/>
    <w:rPr>
      <w:sz w:val="32"/>
    </w:rPr>
  </w:style>
  <w:style w:type="paragraph" w:customStyle="1" w:styleId="HeadingProcedure">
    <w:name w:val="Heading Procedure"/>
    <w:basedOn w:val="HeadingBase"/>
    <w:next w:val="Normal"/>
    <w:rsid w:val="00743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037"/>
    <w:pPr>
      <w:spacing w:before="60" w:after="60"/>
    </w:pPr>
  </w:style>
  <w:style w:type="paragraph" w:styleId="ListContinue">
    <w:name w:val="List Continue"/>
    <w:basedOn w:val="List"/>
    <w:rsid w:val="00743037"/>
    <w:pPr>
      <w:ind w:firstLine="0"/>
    </w:pPr>
  </w:style>
  <w:style w:type="paragraph" w:customStyle="1" w:styleId="ListNote">
    <w:name w:val="List Note"/>
    <w:basedOn w:val="List"/>
    <w:rsid w:val="00743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037"/>
    <w:rPr>
      <w:rFonts w:ascii="Courier New" w:hAnsi="Courier New"/>
    </w:rPr>
  </w:style>
  <w:style w:type="paragraph" w:customStyle="1" w:styleId="NoteBullet">
    <w:name w:val="Note Bullet"/>
    <w:basedOn w:val="Note"/>
    <w:rsid w:val="00743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0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037"/>
    <w:rPr>
      <w:b/>
      <w:smallCaps/>
    </w:rPr>
  </w:style>
  <w:style w:type="paragraph" w:customStyle="1" w:styleId="TableListNumber">
    <w:name w:val="Table List Number"/>
    <w:basedOn w:val="ListNumber"/>
    <w:rsid w:val="00743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037"/>
    <w:pPr>
      <w:numPr>
        <w:numId w:val="9"/>
      </w:numPr>
    </w:pPr>
  </w:style>
  <w:style w:type="paragraph" w:customStyle="1" w:styleId="ListAlpha2">
    <w:name w:val="List Alpha 2"/>
    <w:basedOn w:val="List2"/>
    <w:rsid w:val="00743037"/>
    <w:pPr>
      <w:numPr>
        <w:numId w:val="8"/>
      </w:numPr>
    </w:pPr>
  </w:style>
  <w:style w:type="paragraph" w:styleId="List2">
    <w:name w:val="List 2"/>
    <w:basedOn w:val="BodyText"/>
    <w:rsid w:val="00743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0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0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037"/>
    <w:pPr>
      <w:numPr>
        <w:numId w:val="4"/>
      </w:numPr>
    </w:pPr>
  </w:style>
  <w:style w:type="paragraph" w:styleId="ListContinue2">
    <w:name w:val="List Continue 2"/>
    <w:basedOn w:val="List2"/>
    <w:rsid w:val="00743037"/>
    <w:pPr>
      <w:ind w:firstLine="0"/>
    </w:pPr>
  </w:style>
  <w:style w:type="paragraph" w:styleId="ListContinue3">
    <w:name w:val="List Continue 3"/>
    <w:basedOn w:val="List3"/>
    <w:rsid w:val="00743037"/>
    <w:pPr>
      <w:ind w:left="1021" w:firstLine="0"/>
    </w:pPr>
  </w:style>
  <w:style w:type="paragraph" w:styleId="ListContinue4">
    <w:name w:val="List Continue 4"/>
    <w:basedOn w:val="List4"/>
    <w:rsid w:val="00743037"/>
    <w:pPr>
      <w:ind w:firstLine="0"/>
    </w:pPr>
  </w:style>
  <w:style w:type="paragraph" w:styleId="ListContinue5">
    <w:name w:val="List Continue 5"/>
    <w:basedOn w:val="List5"/>
    <w:rsid w:val="00743037"/>
    <w:pPr>
      <w:ind w:firstLine="0"/>
    </w:pPr>
  </w:style>
  <w:style w:type="paragraph" w:styleId="ListNumber3">
    <w:name w:val="List Number 3"/>
    <w:basedOn w:val="List3"/>
    <w:rsid w:val="00743037"/>
    <w:pPr>
      <w:numPr>
        <w:numId w:val="5"/>
      </w:numPr>
    </w:pPr>
  </w:style>
  <w:style w:type="paragraph" w:styleId="ListNumber4">
    <w:name w:val="List Number 4"/>
    <w:basedOn w:val="List4"/>
    <w:rsid w:val="00743037"/>
    <w:pPr>
      <w:numPr>
        <w:numId w:val="6"/>
      </w:numPr>
    </w:pPr>
  </w:style>
  <w:style w:type="paragraph" w:styleId="ListNumber5">
    <w:name w:val="List Number 5"/>
    <w:basedOn w:val="List5"/>
    <w:rsid w:val="00743037"/>
    <w:pPr>
      <w:numPr>
        <w:numId w:val="7"/>
      </w:numPr>
    </w:pPr>
  </w:style>
  <w:style w:type="paragraph" w:styleId="BlockText">
    <w:name w:val="Block Text"/>
    <w:basedOn w:val="Normal"/>
    <w:rsid w:val="00743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037"/>
    <w:rPr>
      <w:sz w:val="16"/>
      <w:vertAlign w:val="superscript"/>
    </w:rPr>
  </w:style>
  <w:style w:type="character" w:customStyle="1" w:styleId="Symbols">
    <w:name w:val="Symbols"/>
    <w:basedOn w:val="DefaultParagraphFont"/>
    <w:rsid w:val="00743037"/>
    <w:rPr>
      <w:rFonts w:ascii="Symbol" w:hAnsi="Symbol"/>
    </w:rPr>
  </w:style>
  <w:style w:type="character" w:customStyle="1" w:styleId="MenuOptions">
    <w:name w:val="Menu Options"/>
    <w:basedOn w:val="DefaultParagraphFont"/>
    <w:rsid w:val="00743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037"/>
    <w:rPr>
      <w:b/>
    </w:rPr>
  </w:style>
  <w:style w:type="character" w:customStyle="1" w:styleId="Underlined">
    <w:name w:val="Underlined"/>
    <w:basedOn w:val="DefaultParagraphFont"/>
    <w:rsid w:val="00743037"/>
    <w:rPr>
      <w:u w:val="single"/>
    </w:rPr>
  </w:style>
  <w:style w:type="paragraph" w:customStyle="1" w:styleId="TableBodyTextRight">
    <w:name w:val="Table Body Text Right"/>
    <w:basedOn w:val="TableBodyText"/>
    <w:rsid w:val="00743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037"/>
    <w:rPr>
      <w:sz w:val="18"/>
    </w:rPr>
  </w:style>
  <w:style w:type="paragraph" w:customStyle="1" w:styleId="BodySmallRight">
    <w:name w:val="Body Small Right"/>
    <w:basedOn w:val="BodyTextRight"/>
    <w:rsid w:val="00743037"/>
    <w:rPr>
      <w:sz w:val="18"/>
      <w:szCs w:val="18"/>
    </w:rPr>
  </w:style>
  <w:style w:type="paragraph" w:customStyle="1" w:styleId="MarginEdition">
    <w:name w:val="Margin Edition"/>
    <w:basedOn w:val="MarginNote"/>
    <w:rsid w:val="00743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037"/>
    <w:rPr>
      <w:sz w:val="2"/>
      <w:szCs w:val="2"/>
    </w:rPr>
  </w:style>
  <w:style w:type="character" w:customStyle="1" w:styleId="Small">
    <w:name w:val="Small"/>
    <w:basedOn w:val="DefaultParagraphFont"/>
    <w:rsid w:val="00743037"/>
    <w:rPr>
      <w:sz w:val="16"/>
    </w:rPr>
  </w:style>
  <w:style w:type="paragraph" w:customStyle="1" w:styleId="WideTable">
    <w:name w:val="Wide Table"/>
    <w:basedOn w:val="Normal"/>
    <w:rsid w:val="00743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037"/>
  </w:style>
  <w:style w:type="paragraph" w:styleId="Quote">
    <w:name w:val="Quote"/>
    <w:basedOn w:val="Heading1"/>
    <w:link w:val="QuoteChar"/>
    <w:qFormat/>
    <w:rsid w:val="00743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037"/>
    <w:pPr>
      <w:pageBreakBefore/>
    </w:pPr>
  </w:style>
  <w:style w:type="paragraph" w:customStyle="1" w:styleId="Border">
    <w:name w:val="Border"/>
    <w:basedOn w:val="Normal"/>
    <w:qFormat/>
    <w:rsid w:val="00743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037"/>
    <w:rPr>
      <w:u w:val="single"/>
    </w:rPr>
  </w:style>
  <w:style w:type="character" w:customStyle="1" w:styleId="BoldandItalics">
    <w:name w:val="Bold and Italics"/>
    <w:qFormat/>
    <w:rsid w:val="00743037"/>
    <w:rPr>
      <w:b/>
      <w:i/>
      <w:u w:val="none"/>
    </w:rPr>
  </w:style>
  <w:style w:type="paragraph" w:styleId="BalloonText">
    <w:name w:val="Balloon Text"/>
    <w:basedOn w:val="Normal"/>
    <w:link w:val="BalloonTextChar"/>
    <w:rsid w:val="00743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037"/>
    <w:pPr>
      <w:spacing w:before="0" w:after="0"/>
    </w:pPr>
  </w:style>
  <w:style w:type="paragraph" w:customStyle="1" w:styleId="BodyTextBold">
    <w:name w:val="Body Text Bold"/>
    <w:basedOn w:val="BodyText"/>
    <w:qFormat/>
    <w:rsid w:val="00743037"/>
    <w:rPr>
      <w:b/>
    </w:rPr>
  </w:style>
  <w:style w:type="character" w:styleId="Hyperlink">
    <w:name w:val="Hyperlink"/>
    <w:basedOn w:val="DefaultParagraphFont"/>
    <w:uiPriority w:val="99"/>
    <w:unhideWhenUsed/>
    <w:rsid w:val="00250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4171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FNSFMK512 Apply knowledge of emissions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