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FC8" w:rsidP="00661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FNSFMK504 Complete confirmation and settlement processes</w:t>
      </w:r>
      <w:r>
        <w:fldChar w:fldCharType="end"/>
      </w:r>
    </w:p>
    <w:p w:rsidR="00661FC8" w:rsidP="00661FC8">
      <w:pPr>
        <w:pStyle w:val="Version"/>
        <w:sectPr w:rsidSect="00B06D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DB9" w:rsidP="00B06DB9">
      <w:pPr>
        <w:pStyle w:val="SuperHeading"/>
      </w:pPr>
      <w:r w:rsidRPr="00B06DB9">
        <w:t>FNSFMK504 Complete confirmation and settlement processes</w:t>
      </w:r>
    </w:p>
    <w:p w:rsidR="00000000" w:rsidRPr="00B06DB9" w:rsidP="00B06DB9">
      <w:pPr>
        <w:pStyle w:val="Heading1"/>
      </w:pPr>
      <w:bookmarkStart w:id="1" w:name="O_676244"/>
      <w:bookmarkEnd w:id="1"/>
      <w:r w:rsidRPr="00B06D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rPr>
                <w:rStyle w:val="SpecialBold"/>
              </w:rPr>
              <w:t>Comments</w:t>
            </w:r>
          </w:p>
        </w:tc>
      </w:tr>
      <w:tr w:rsidTr="00B0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t>This version first released with FNS Financial Services Training Package Version 1.0.</w:t>
            </w:r>
          </w:p>
        </w:tc>
      </w:tr>
    </w:tbl>
    <w:p w:rsidR="00000000" w:rsidRPr="00B06DB9" w:rsidP="00B06DB9">
      <w:pPr>
        <w:pStyle w:val="BodyText"/>
      </w:pPr>
    </w:p>
    <w:p w:rsidR="00000000" w:rsidRPr="00B06DB9" w:rsidP="00B06DB9">
      <w:pPr>
        <w:pStyle w:val="AllowPageBreak"/>
      </w:pPr>
    </w:p>
    <w:p w:rsidR="00000000" w:rsidRPr="00B06DB9" w:rsidP="00B06DB9">
      <w:pPr>
        <w:pStyle w:val="Heading1"/>
      </w:pPr>
      <w:bookmarkStart w:id="2" w:name="O_676245"/>
      <w:bookmarkEnd w:id="2"/>
      <w:r w:rsidRPr="00B06DB9">
        <w:t>Application</w:t>
      </w:r>
    </w:p>
    <w:p w:rsidR="00000000" w:rsidRPr="00B06DB9" w:rsidP="00661FC8">
      <w:pPr>
        <w:pStyle w:val="BodyText"/>
      </w:pPr>
      <w:r w:rsidRPr="00B06DB9">
        <w:t>This unit describes the skills and knowledge required to check dealing tra</w:t>
      </w:r>
      <w:r w:rsidRPr="00B06DB9">
        <w:t>nsaction documentation and complete confirmation and settlement processes.</w:t>
      </w:r>
    </w:p>
    <w:p w:rsidR="00000000" w:rsidRPr="00B06DB9" w:rsidP="00661FC8">
      <w:pPr>
        <w:pStyle w:val="BodyText"/>
      </w:pPr>
      <w:r w:rsidRPr="00B06DB9">
        <w:t>It applies to individuals who use specialised knowledge and systematic approaches to check accuracy and complete work requirements.</w:t>
      </w:r>
    </w:p>
    <w:p w:rsidR="00000000" w:rsidRPr="00B06DB9" w:rsidP="00661FC8">
      <w:pPr>
        <w:pStyle w:val="BodyText"/>
      </w:pPr>
      <w:r w:rsidRPr="00B06DB9">
        <w:t xml:space="preserve">Work functions in the occupational areas where </w:t>
      </w:r>
      <w:r w:rsidRPr="00B06DB9">
        <w:t>this unit may be used are subject to regulatory requirements. Refer to the FNS Implementation Guide Companion Volume or the relevant regulator for specific guidance on requirements.</w:t>
      </w:r>
    </w:p>
    <w:p w:rsidR="00000000" w:rsidRPr="00B06DB9" w:rsidP="00B06DB9">
      <w:pPr>
        <w:pStyle w:val="Heading1"/>
      </w:pPr>
      <w:bookmarkStart w:id="3" w:name="O_676248"/>
      <w:bookmarkEnd w:id="3"/>
      <w:r w:rsidRPr="00B06DB9">
        <w:t>Unit Sector</w:t>
      </w:r>
    </w:p>
    <w:p w:rsidR="00000000" w:rsidRPr="00B06DB9" w:rsidP="00661FC8">
      <w:pPr>
        <w:pStyle w:val="BodyText"/>
      </w:pPr>
      <w:r w:rsidRPr="00B06DB9">
        <w:t>Financial markets</w:t>
      </w:r>
    </w:p>
    <w:p w:rsidR="00000000" w:rsidRPr="00B06DB9" w:rsidP="00B06DB9">
      <w:pPr>
        <w:pStyle w:val="Heading1"/>
      </w:pPr>
      <w:bookmarkStart w:id="4" w:name="O_676249"/>
      <w:bookmarkEnd w:id="4"/>
      <w:r w:rsidRPr="00B06DB9">
        <w:t>Elements a</w:t>
      </w:r>
      <w:r w:rsidRPr="00B06DB9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6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rPr>
                <w:rStyle w:val="SpecialBold"/>
              </w:rPr>
              <w:t>PERFORMANCE CRITERIA</w:t>
            </w:r>
          </w:p>
        </w:tc>
      </w:tr>
      <w:tr w:rsidTr="00B06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6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1. Process transaction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t>1.1 Check transaction documentation received from dealer promptly for accuracy and completion according to organisational guidelines</w:t>
            </w:r>
          </w:p>
          <w:p w:rsidR="00000000" w:rsidRPr="00B06DB9" w:rsidP="00B06DB9">
            <w:pPr>
              <w:pStyle w:val="BodyText"/>
            </w:pPr>
            <w:r w:rsidRPr="00B06DB9">
              <w:t>1.2 Enter details on transaction documentation into organisational dealing system using appropriate technology</w:t>
            </w:r>
          </w:p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1.3 Review o</w:t>
            </w:r>
            <w:r w:rsidRPr="00B06DB9">
              <w:t>rganisational records to ensure that master agreements are in place before confirmation processes are conducted</w:t>
            </w:r>
          </w:p>
        </w:tc>
      </w:tr>
      <w:tr w:rsidTr="00B06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2. Complete confirmation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t>2.1 Produce and forward organisational confirmation documentation to client for approval and authorisation</w:t>
            </w:r>
          </w:p>
          <w:p w:rsidR="00000000" w:rsidRPr="00B06DB9" w:rsidP="00B06DB9">
            <w:pPr>
              <w:pStyle w:val="BodyText"/>
            </w:pPr>
            <w:r w:rsidRPr="00B06DB9">
              <w:t>2.2 Receive authorised confirmation documentation and complete financial transaction according to confirmed settlement procedures and organisational and industry requirements</w:t>
            </w:r>
          </w:p>
          <w:p w:rsidR="00000000" w:rsidRPr="00B06DB9" w:rsidP="00B06DB9">
            <w:pPr>
              <w:pStyle w:val="BodyText"/>
            </w:pPr>
            <w:r w:rsidRPr="00B06DB9">
              <w:t>2.3 Forward confirmation documentation to client outlining settlement exchange de</w:t>
            </w:r>
            <w:r w:rsidRPr="00B06DB9">
              <w:t>tails</w:t>
            </w:r>
          </w:p>
        </w:tc>
      </w:tr>
    </w:tbl>
    <w:p w:rsidR="00000000" w:rsidRPr="00B06DB9" w:rsidP="00B06DB9">
      <w:pPr>
        <w:pStyle w:val="BodyText"/>
      </w:pPr>
    </w:p>
    <w:p w:rsidR="00000000" w:rsidRPr="00B06DB9" w:rsidP="00B06DB9">
      <w:pPr>
        <w:pStyle w:val="AllowPageBreak"/>
      </w:pPr>
    </w:p>
    <w:p w:rsidR="00000000" w:rsidRPr="00B06DB9" w:rsidP="00B06DB9">
      <w:pPr>
        <w:pStyle w:val="Heading1"/>
      </w:pPr>
      <w:bookmarkStart w:id="5" w:name="O_676250"/>
      <w:bookmarkEnd w:id="5"/>
      <w:r w:rsidRPr="00B06DB9">
        <w:t>Foundation Skills</w:t>
      </w:r>
    </w:p>
    <w:p w:rsidR="00000000" w:rsidRPr="00661FC8" w:rsidP="00661FC8">
      <w:pPr>
        <w:pStyle w:val="BodyText"/>
        <w:rPr>
          <w:i/>
        </w:rPr>
      </w:pPr>
      <w:r w:rsidRPr="00661F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06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rPr>
                <w:rStyle w:val="SpecialBold"/>
              </w:rPr>
              <w:t>Description</w:t>
            </w:r>
          </w:p>
        </w:tc>
      </w:tr>
      <w:tr w:rsidTr="00B06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1.1-1</w:t>
            </w:r>
            <w:r w:rsidRPr="00B06DB9">
              <w:t>.3,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ListBullet"/>
              <w:rPr>
                <w:lang w:val="en-NZ"/>
              </w:rPr>
            </w:pPr>
            <w:r w:rsidRPr="00B06DB9">
              <w:t xml:space="preserve">Interprets and checks accuracy of information from a range of sources to determine and confirm work requirements </w:t>
            </w:r>
          </w:p>
        </w:tc>
      </w:tr>
      <w:tr w:rsidTr="00B06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1.2, 2.1, 2.2, 2.3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ListBullet"/>
              <w:rPr>
                <w:lang w:val="en-NZ"/>
              </w:rPr>
            </w:pPr>
            <w:r w:rsidRPr="00B06DB9">
              <w:t xml:space="preserve">Records key information and accurately prepares documentation following organisational procedures </w:t>
            </w:r>
            <w:r w:rsidRPr="00B06DB9">
              <w:t xml:space="preserve">and protocols </w:t>
            </w:r>
          </w:p>
        </w:tc>
      </w:tr>
      <w:tr w:rsidTr="00B06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1.1, 1.2, 2.2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ListBullet"/>
              <w:rPr>
                <w:lang w:val="en-NZ"/>
              </w:rPr>
            </w:pPr>
            <w:r w:rsidRPr="00B06DB9">
              <w:t xml:space="preserve">Uses mathematical equations to perform calculations </w:t>
            </w:r>
          </w:p>
        </w:tc>
      </w:tr>
      <w:tr w:rsidTr="00B06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1.1, 2.2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ListBullet"/>
              <w:rPr>
                <w:lang w:val="en-NZ"/>
              </w:rPr>
            </w:pPr>
            <w:r w:rsidRPr="00B06DB9">
              <w:t>Takes responsibility for completing process documentation to industry and organisational requirements</w:t>
            </w:r>
          </w:p>
        </w:tc>
      </w:tr>
      <w:tr w:rsidTr="00B06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ListBullet"/>
              <w:rPr>
                <w:lang w:val="en-NZ"/>
              </w:rPr>
            </w:pPr>
            <w:r w:rsidRPr="00B06DB9">
              <w:t xml:space="preserve">Selects and uses appropriate conventions and protocols when communicating with clients </w:t>
            </w:r>
          </w:p>
        </w:tc>
      </w:tr>
      <w:tr w:rsidTr="00B06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 xml:space="preserve">1.1-1.3, 2.1-2.3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ListBullet"/>
            </w:pPr>
            <w:r w:rsidRPr="00B06DB9">
              <w:t>Plans, organises and completes tasks, aiming to complete efficiently and effectively</w:t>
            </w:r>
          </w:p>
          <w:p w:rsidR="00000000" w:rsidRPr="00B06DB9" w:rsidP="00B06DB9">
            <w:pPr>
              <w:pStyle w:val="ListBullet"/>
            </w:pPr>
            <w:r w:rsidRPr="00B06DB9">
              <w:t>Uses the main features and function</w:t>
            </w:r>
            <w:r w:rsidRPr="00B06DB9">
              <w:t>s of digital tools to complete work tasks and access information</w:t>
            </w:r>
          </w:p>
        </w:tc>
      </w:tr>
    </w:tbl>
    <w:p w:rsidR="00000000" w:rsidRPr="00B06DB9" w:rsidP="00B06DB9">
      <w:pPr>
        <w:pStyle w:val="BodyText"/>
      </w:pPr>
    </w:p>
    <w:p w:rsidR="00000000" w:rsidRPr="00B06DB9" w:rsidP="00B06DB9">
      <w:pPr>
        <w:pStyle w:val="AllowPageBreak"/>
      </w:pPr>
    </w:p>
    <w:p w:rsidR="00000000" w:rsidRPr="00B06DB9" w:rsidP="00B06DB9">
      <w:pPr>
        <w:pStyle w:val="Heading1"/>
      </w:pPr>
      <w:bookmarkStart w:id="6" w:name="O_676252"/>
      <w:bookmarkEnd w:id="6"/>
      <w:r w:rsidRPr="00B06D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 xml:space="preserve">Code and title </w:t>
            </w:r>
          </w:p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Code and title</w:t>
            </w:r>
          </w:p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rPr>
                <w:rStyle w:val="SpecialBold"/>
              </w:rPr>
              <w:t>Equivalence status</w:t>
            </w:r>
          </w:p>
        </w:tc>
      </w:tr>
      <w:tr w:rsidTr="00B0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FNSFMK504 Complete confirmation and settlement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FNSFMK504A Complete settlement and confirmation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t>Updated to meet Standards for Training Packages</w:t>
            </w:r>
          </w:p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Title changed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t>Equivalent unit</w:t>
            </w:r>
          </w:p>
        </w:tc>
      </w:tr>
    </w:tbl>
    <w:p w:rsidR="00000000" w:rsidRPr="00B06DB9" w:rsidP="00B06DB9">
      <w:pPr>
        <w:pStyle w:val="BodyText"/>
      </w:pPr>
    </w:p>
    <w:p w:rsidR="00000000" w:rsidRPr="00B06DB9" w:rsidP="00B06DB9">
      <w:pPr>
        <w:pStyle w:val="AllowPageBreak"/>
      </w:pPr>
    </w:p>
    <w:p w:rsidR="00000000" w:rsidRPr="00B06DB9" w:rsidP="00B06DB9">
      <w:pPr>
        <w:pStyle w:val="Heading1"/>
      </w:pPr>
      <w:bookmarkStart w:id="7" w:name="O_676259"/>
      <w:bookmarkEnd w:id="7"/>
      <w:r w:rsidRPr="00B06DB9">
        <w:t>Links</w:t>
      </w:r>
    </w:p>
    <w:p w:rsidR="00000000" w:rsidRPr="00B06DB9" w:rsidP="00661FC8">
      <w:pPr>
        <w:pStyle w:val="BodyText"/>
      </w:pPr>
      <w:r w:rsidRPr="00B06DB9">
        <w:t>Companion Volume implementation guides</w:t>
      </w:r>
      <w:r w:rsidRPr="00B06DB9">
        <w:t xml:space="preserve">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059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06DB9" w:rsidP="00661FC8">
      <w:pPr>
        <w:pStyle w:val="BodyText"/>
        <w:sectPr w:rsidSect="00B06D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6DB9" w:rsidP="00B06DB9">
      <w:pPr>
        <w:pStyle w:val="SuperHeading"/>
      </w:pPr>
      <w:r w:rsidRPr="00B06DB9">
        <w:t>Assessment Requirements for FNSFMK504 Complete confirmation and settlement processes</w:t>
      </w:r>
    </w:p>
    <w:p w:rsidR="00000000" w:rsidRPr="00B06DB9" w:rsidP="00B06DB9">
      <w:pPr>
        <w:pStyle w:val="Heading1"/>
      </w:pPr>
      <w:bookmarkStart w:id="8" w:name="O_676254"/>
      <w:bookmarkEnd w:id="8"/>
      <w:r w:rsidRPr="00B06D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rPr>
                <w:rStyle w:val="SpecialBold"/>
              </w:rPr>
              <w:t>Comments</w:t>
            </w:r>
          </w:p>
        </w:tc>
      </w:tr>
      <w:tr w:rsidTr="00B06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DB9">
            <w:pPr>
              <w:pStyle w:val="BodyText"/>
              <w:rPr>
                <w:lang w:val="en-NZ"/>
              </w:rPr>
            </w:pPr>
            <w:r w:rsidRPr="00B06D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DB9" w:rsidP="00B06DB9">
            <w:pPr>
              <w:pStyle w:val="BodyText"/>
            </w:pPr>
            <w:r w:rsidRPr="00B06DB9">
              <w:t>This version first released with FNS Financial Services Training Package Version 1.0.</w:t>
            </w:r>
          </w:p>
        </w:tc>
      </w:tr>
    </w:tbl>
    <w:p w:rsidR="00000000" w:rsidRPr="00B06DB9" w:rsidP="00B06DB9">
      <w:pPr>
        <w:pStyle w:val="BodyText"/>
      </w:pPr>
    </w:p>
    <w:p w:rsidR="00000000" w:rsidRPr="00B06DB9" w:rsidP="00B06DB9">
      <w:pPr>
        <w:pStyle w:val="AllowPageBreak"/>
      </w:pPr>
    </w:p>
    <w:p w:rsidR="00000000" w:rsidRPr="00B06DB9" w:rsidP="00B06DB9">
      <w:pPr>
        <w:pStyle w:val="Heading1"/>
      </w:pPr>
      <w:bookmarkStart w:id="9" w:name="O_676255"/>
      <w:bookmarkEnd w:id="9"/>
      <w:r w:rsidRPr="00B06DB9">
        <w:t>Performance Evidence</w:t>
      </w:r>
    </w:p>
    <w:p w:rsidR="00000000" w:rsidRPr="00B06DB9" w:rsidP="00661FC8">
      <w:pPr>
        <w:pStyle w:val="BodyText"/>
      </w:pPr>
      <w:r w:rsidRPr="00B06DB9">
        <w:t>Evidence of the ability to:</w:t>
      </w:r>
    </w:p>
    <w:p w:rsidR="00000000" w:rsidRPr="00B06DB9" w:rsidP="00B06DB9">
      <w:pPr>
        <w:pStyle w:val="ListBullet"/>
      </w:pPr>
      <w:r w:rsidRPr="00B06DB9">
        <w:t>interpret and comply with organisational and industr</w:t>
      </w:r>
      <w:r w:rsidRPr="00B06DB9">
        <w:t>y settlement and confirmation procedures</w:t>
      </w:r>
    </w:p>
    <w:p w:rsidR="00000000" w:rsidRPr="00B06DB9" w:rsidP="00B06DB9">
      <w:pPr>
        <w:pStyle w:val="ListBullet"/>
      </w:pPr>
      <w:r w:rsidRPr="00B06DB9">
        <w:t xml:space="preserve">use transaction processing systems </w:t>
      </w:r>
    </w:p>
    <w:p w:rsidR="00000000" w:rsidRPr="00B06DB9" w:rsidP="00B06DB9">
      <w:pPr>
        <w:pStyle w:val="ListBullet"/>
      </w:pPr>
      <w:r w:rsidRPr="00B06DB9">
        <w:t>process transaction documentation</w:t>
      </w:r>
    </w:p>
    <w:p w:rsidR="00000000" w:rsidRPr="00B06DB9" w:rsidP="00B06DB9">
      <w:pPr>
        <w:pStyle w:val="ListBullet"/>
      </w:pPr>
      <w:r w:rsidRPr="00B06DB9">
        <w:t>complete confirmation processes.</w:t>
      </w:r>
    </w:p>
    <w:p w:rsidR="00000000" w:rsidRPr="00B06DB9" w:rsidP="00B06DB9">
      <w:pPr>
        <w:pStyle w:val="BodyText"/>
      </w:pPr>
    </w:p>
    <w:p w:rsidR="00000000" w:rsidRPr="00B06DB9" w:rsidP="00661FC8">
      <w:pPr>
        <w:pStyle w:val="BodyText"/>
      </w:pPr>
      <w:r w:rsidRPr="00B06DB9">
        <w:t>Note: If a specific volume or frequency is not stated, then evidence must be provided at least once.</w:t>
      </w:r>
    </w:p>
    <w:p w:rsidR="00000000" w:rsidRPr="00B06DB9" w:rsidP="00B06DB9">
      <w:pPr>
        <w:pStyle w:val="Heading1"/>
      </w:pPr>
      <w:bookmarkStart w:id="10" w:name="O_676256"/>
      <w:bookmarkEnd w:id="10"/>
      <w:r w:rsidRPr="00B06DB9">
        <w:t>Knowledge Evidence</w:t>
      </w:r>
    </w:p>
    <w:p w:rsidR="00000000" w:rsidRPr="00B06DB9" w:rsidP="00661FC8">
      <w:pPr>
        <w:pStyle w:val="BodyText"/>
      </w:pPr>
      <w:r w:rsidRPr="00B06DB9">
        <w:t>To complete the unit requirements safely and effectively, the individual must: :</w:t>
      </w:r>
    </w:p>
    <w:p w:rsidR="00000000" w:rsidRPr="00B06DB9" w:rsidP="00B06DB9">
      <w:pPr>
        <w:pStyle w:val="ListBullet"/>
      </w:pPr>
      <w:r w:rsidRPr="00B06DB9">
        <w:t>describe the key features and processes relating to master agreement instructions</w:t>
      </w:r>
    </w:p>
    <w:p w:rsidR="00000000" w:rsidRPr="00B06DB9" w:rsidP="00B06DB9">
      <w:pPr>
        <w:pStyle w:val="ListBullet"/>
      </w:pPr>
      <w:r w:rsidRPr="00B06DB9">
        <w:t>describe the key features of:</w:t>
      </w:r>
    </w:p>
    <w:p w:rsidR="00000000" w:rsidRPr="00B06DB9" w:rsidP="00B06DB9">
      <w:pPr>
        <w:pStyle w:val="ListBullet2"/>
      </w:pPr>
      <w:r w:rsidRPr="00B06DB9">
        <w:t>organisational and industry confir</w:t>
      </w:r>
      <w:r w:rsidRPr="00B06DB9">
        <w:t>mation systems and procedures</w:t>
      </w:r>
    </w:p>
    <w:p w:rsidR="00000000" w:rsidRPr="00B06DB9" w:rsidP="00B06DB9">
      <w:pPr>
        <w:pStyle w:val="ListBullet2"/>
      </w:pPr>
      <w:r w:rsidRPr="00B06DB9">
        <w:t>organisational and industry settlement systems and procedures</w:t>
      </w:r>
    </w:p>
    <w:p w:rsidR="00000000" w:rsidRPr="00B06DB9" w:rsidP="00B06DB9">
      <w:pPr>
        <w:pStyle w:val="ListBullet2"/>
      </w:pPr>
      <w:r w:rsidRPr="00B06DB9">
        <w:t>organisational policy and procedures.</w:t>
      </w:r>
    </w:p>
    <w:p w:rsidR="00000000" w:rsidRPr="00B06DB9" w:rsidP="00B06DB9">
      <w:pPr>
        <w:pStyle w:val="AllowPageBreak"/>
      </w:pPr>
    </w:p>
    <w:p w:rsidR="00000000" w:rsidRPr="00B06DB9" w:rsidP="00B06DB9">
      <w:pPr>
        <w:pStyle w:val="Heading1"/>
      </w:pPr>
      <w:bookmarkStart w:id="11" w:name="O_676257"/>
      <w:bookmarkEnd w:id="11"/>
      <w:r w:rsidRPr="00B06DB9">
        <w:t>Assessment Conditions</w:t>
      </w:r>
    </w:p>
    <w:p w:rsidR="00000000" w:rsidRPr="00B06DB9" w:rsidP="00661FC8">
      <w:pPr>
        <w:pStyle w:val="BodyText"/>
      </w:pPr>
      <w:r w:rsidRPr="00B06DB9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B06DB9" w:rsidP="00B06DB9">
      <w:pPr>
        <w:pStyle w:val="ListBullet"/>
      </w:pPr>
      <w:r w:rsidRPr="00B06DB9">
        <w:t>office equipment, technology, software and consu</w:t>
      </w:r>
      <w:r w:rsidRPr="00B06DB9">
        <w:t>mables</w:t>
      </w:r>
    </w:p>
    <w:p w:rsidR="00000000" w:rsidRPr="00B06DB9" w:rsidP="00B06DB9">
      <w:pPr>
        <w:pStyle w:val="ListBullet"/>
      </w:pPr>
      <w:r w:rsidRPr="00B06DB9">
        <w:t>an integrated financial software system and data.</w:t>
      </w:r>
    </w:p>
    <w:p w:rsidR="00000000" w:rsidRPr="00B06DB9" w:rsidP="00B06DB9">
      <w:pPr>
        <w:pStyle w:val="BodyText"/>
      </w:pPr>
    </w:p>
    <w:p w:rsidR="00000000" w:rsidRPr="00B06DB9" w:rsidP="00661FC8">
      <w:pPr>
        <w:pStyle w:val="BodyText"/>
      </w:pPr>
      <w:r w:rsidRPr="00B06DB9">
        <w:t>Assessors must satisfy NVR/AQTF assessor requirements.</w:t>
      </w:r>
    </w:p>
    <w:p w:rsidR="00000000" w:rsidRPr="00B06DB9" w:rsidP="00B06DB9">
      <w:pPr>
        <w:pStyle w:val="Heading1"/>
      </w:pPr>
      <w:bookmarkStart w:id="12" w:name="O_676260"/>
      <w:bookmarkEnd w:id="12"/>
      <w:r w:rsidRPr="00B06DB9">
        <w:t>Links</w:t>
      </w:r>
    </w:p>
    <w:p w:rsidR="00000000" w:rsidRPr="00B06DB9" w:rsidP="00661FC8">
      <w:pPr>
        <w:pStyle w:val="BodyText"/>
      </w:pPr>
      <w:r w:rsidRPr="00B06D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059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06DB9" w:rsidP="00B06DB9"/>
    <w:sectPr w:rsidSect="00B06D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B9" w:rsidRPr="00661FC8" w:rsidP="00661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C8" w:rsidP="00B06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FC8" w:rsidP="00B06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1FC8" w:rsidP="00B06D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B9" w:rsidP="00B06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1FC8">
      <w:t>Approved</w:t>
    </w:r>
    <w:r w:rsidR="00661F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1F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1FC8">
      <w:rPr>
        <w:noProof/>
      </w:rPr>
      <w:t>4</w:t>
    </w:r>
    <w:r>
      <w:rPr>
        <w:noProof/>
      </w:rPr>
      <w:fldChar w:fldCharType="end"/>
    </w:r>
  </w:p>
  <w:p w:rsidR="00B06DB9" w:rsidP="00B06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1F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1FC8">
      <w:t>Future Skills Organisation</w:t>
    </w:r>
    <w:r w:rsidR="00661FC8">
      <w:fldChar w:fldCharType="end"/>
    </w:r>
  </w:p>
  <w:p w:rsidR="00B06DB9" w:rsidP="00B06D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DB9" w:rsidRPr="00661FC8" w:rsidP="00661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FC8" w:rsidRPr="002D2AF8" w:rsidP="00B06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FNSFMK504 Complete confirmation and settlement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1FC8" w:rsidP="00B06D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DB9" w:rsidRPr="002D2AF8" w:rsidP="00B06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1FC8">
      <w:t>FNSFMK504 Complete confirmation and settlement processes</w:t>
    </w:r>
    <w:r w:rsidR="00661F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1FC8">
      <w:rPr>
        <w:noProof/>
      </w:rPr>
      <w:t>2 March 2025</w:t>
    </w:r>
    <w:r>
      <w:fldChar w:fldCharType="end"/>
    </w:r>
  </w:p>
  <w:p w:rsidR="00B06DB9" w:rsidP="00B06D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6C8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63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5A1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D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D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D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D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D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D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D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D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D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D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DB9"/>
  </w:style>
  <w:style w:type="character" w:customStyle="1" w:styleId="Heading1Char">
    <w:name w:val="Heading 1 Char"/>
    <w:basedOn w:val="DefaultParagraphFont"/>
    <w:link w:val="Heading1"/>
    <w:rsid w:val="00B06D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D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D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D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DB9"/>
    <w:rPr>
      <w:b/>
      <w:spacing w:val="0"/>
    </w:rPr>
  </w:style>
  <w:style w:type="paragraph" w:styleId="ListBullet2">
    <w:name w:val="List Bullet 2"/>
    <w:basedOn w:val="List2"/>
    <w:rsid w:val="00B06D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6DB9"/>
    <w:rPr>
      <w:i/>
    </w:rPr>
  </w:style>
  <w:style w:type="paragraph" w:customStyle="1" w:styleId="SuperHeading">
    <w:name w:val="SuperHeading"/>
    <w:basedOn w:val="Normal"/>
    <w:rsid w:val="00B06D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D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D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D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D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D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D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D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D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D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D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D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D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D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D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D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D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D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D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D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D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D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D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D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D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D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D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D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D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D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D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D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D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DB9"/>
  </w:style>
  <w:style w:type="paragraph" w:styleId="TableofFigures">
    <w:name w:val="table of figures"/>
    <w:basedOn w:val="Normal"/>
    <w:next w:val="Normal"/>
    <w:semiHidden/>
    <w:rsid w:val="00B06D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D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DB9"/>
    <w:rPr>
      <w:rFonts w:ascii="Wingdings" w:hAnsi="Wingdings"/>
    </w:rPr>
  </w:style>
  <w:style w:type="paragraph" w:customStyle="1" w:styleId="TableHeading">
    <w:name w:val="Table Heading"/>
    <w:basedOn w:val="HeadingBase"/>
    <w:rsid w:val="00B06D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DB9"/>
    <w:rPr>
      <w:color w:val="0033CC"/>
      <w:u w:val="none"/>
    </w:rPr>
  </w:style>
  <w:style w:type="paragraph" w:customStyle="1" w:styleId="BodyTextRight">
    <w:name w:val="Body Text Right"/>
    <w:basedOn w:val="BodyText"/>
    <w:rsid w:val="00B06D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D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D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D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D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D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DB9"/>
    <w:rPr>
      <w:sz w:val="32"/>
    </w:rPr>
  </w:style>
  <w:style w:type="paragraph" w:customStyle="1" w:styleId="HeadingProcedure">
    <w:name w:val="Heading Procedure"/>
    <w:basedOn w:val="HeadingBase"/>
    <w:next w:val="Normal"/>
    <w:rsid w:val="00B06D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DB9"/>
    <w:pPr>
      <w:spacing w:before="60" w:after="60"/>
    </w:pPr>
  </w:style>
  <w:style w:type="paragraph" w:styleId="ListContinue">
    <w:name w:val="List Continue"/>
    <w:basedOn w:val="List"/>
    <w:rsid w:val="00B06DB9"/>
    <w:pPr>
      <w:ind w:firstLine="0"/>
    </w:pPr>
  </w:style>
  <w:style w:type="paragraph" w:customStyle="1" w:styleId="ListNote">
    <w:name w:val="List Note"/>
    <w:basedOn w:val="List"/>
    <w:rsid w:val="00B06D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D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D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DB9"/>
    <w:rPr>
      <w:rFonts w:ascii="Courier New" w:hAnsi="Courier New"/>
    </w:rPr>
  </w:style>
  <w:style w:type="paragraph" w:customStyle="1" w:styleId="NoteBullet">
    <w:name w:val="Note Bullet"/>
    <w:basedOn w:val="Note"/>
    <w:rsid w:val="00B06D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D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D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D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D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D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D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DB9"/>
    <w:rPr>
      <w:b/>
      <w:smallCaps/>
    </w:rPr>
  </w:style>
  <w:style w:type="paragraph" w:customStyle="1" w:styleId="TableListNumber">
    <w:name w:val="Table List Number"/>
    <w:basedOn w:val="ListNumber"/>
    <w:rsid w:val="00B06D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D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DB9"/>
    <w:pPr>
      <w:numPr>
        <w:numId w:val="9"/>
      </w:numPr>
    </w:pPr>
  </w:style>
  <w:style w:type="paragraph" w:customStyle="1" w:styleId="ListAlpha2">
    <w:name w:val="List Alpha 2"/>
    <w:basedOn w:val="List2"/>
    <w:rsid w:val="00B06DB9"/>
    <w:pPr>
      <w:numPr>
        <w:numId w:val="8"/>
      </w:numPr>
    </w:pPr>
  </w:style>
  <w:style w:type="paragraph" w:styleId="List2">
    <w:name w:val="List 2"/>
    <w:basedOn w:val="BodyText"/>
    <w:rsid w:val="00B06D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D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D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D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D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D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DB9"/>
    <w:pPr>
      <w:numPr>
        <w:numId w:val="4"/>
      </w:numPr>
    </w:pPr>
  </w:style>
  <w:style w:type="paragraph" w:styleId="ListContinue2">
    <w:name w:val="List Continue 2"/>
    <w:basedOn w:val="List2"/>
    <w:rsid w:val="00B06DB9"/>
    <w:pPr>
      <w:ind w:firstLine="0"/>
    </w:pPr>
  </w:style>
  <w:style w:type="paragraph" w:styleId="ListContinue3">
    <w:name w:val="List Continue 3"/>
    <w:basedOn w:val="List3"/>
    <w:rsid w:val="00B06DB9"/>
    <w:pPr>
      <w:ind w:left="1021" w:firstLine="0"/>
    </w:pPr>
  </w:style>
  <w:style w:type="paragraph" w:styleId="ListContinue4">
    <w:name w:val="List Continue 4"/>
    <w:basedOn w:val="List4"/>
    <w:rsid w:val="00B06DB9"/>
    <w:pPr>
      <w:ind w:firstLine="0"/>
    </w:pPr>
  </w:style>
  <w:style w:type="paragraph" w:styleId="ListContinue5">
    <w:name w:val="List Continue 5"/>
    <w:basedOn w:val="List5"/>
    <w:rsid w:val="00B06DB9"/>
    <w:pPr>
      <w:ind w:firstLine="0"/>
    </w:pPr>
  </w:style>
  <w:style w:type="paragraph" w:styleId="ListNumber3">
    <w:name w:val="List Number 3"/>
    <w:basedOn w:val="List3"/>
    <w:rsid w:val="00B06DB9"/>
    <w:pPr>
      <w:numPr>
        <w:numId w:val="5"/>
      </w:numPr>
    </w:pPr>
  </w:style>
  <w:style w:type="paragraph" w:styleId="ListNumber4">
    <w:name w:val="List Number 4"/>
    <w:basedOn w:val="List4"/>
    <w:rsid w:val="00B06DB9"/>
    <w:pPr>
      <w:numPr>
        <w:numId w:val="6"/>
      </w:numPr>
    </w:pPr>
  </w:style>
  <w:style w:type="paragraph" w:styleId="ListNumber5">
    <w:name w:val="List Number 5"/>
    <w:basedOn w:val="List5"/>
    <w:rsid w:val="00B06DB9"/>
    <w:pPr>
      <w:numPr>
        <w:numId w:val="7"/>
      </w:numPr>
    </w:pPr>
  </w:style>
  <w:style w:type="paragraph" w:styleId="BlockText">
    <w:name w:val="Block Text"/>
    <w:basedOn w:val="Normal"/>
    <w:rsid w:val="00B06D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D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DB9"/>
    <w:rPr>
      <w:sz w:val="16"/>
      <w:vertAlign w:val="superscript"/>
    </w:rPr>
  </w:style>
  <w:style w:type="character" w:customStyle="1" w:styleId="Symbols">
    <w:name w:val="Symbols"/>
    <w:basedOn w:val="DefaultParagraphFont"/>
    <w:rsid w:val="00B06DB9"/>
    <w:rPr>
      <w:rFonts w:ascii="Symbol" w:hAnsi="Symbol"/>
    </w:rPr>
  </w:style>
  <w:style w:type="character" w:customStyle="1" w:styleId="MenuOptions">
    <w:name w:val="Menu Options"/>
    <w:basedOn w:val="DefaultParagraphFont"/>
    <w:rsid w:val="00B06D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DB9"/>
    <w:rPr>
      <w:b/>
    </w:rPr>
  </w:style>
  <w:style w:type="character" w:customStyle="1" w:styleId="Underlined">
    <w:name w:val="Underlined"/>
    <w:basedOn w:val="DefaultParagraphFont"/>
    <w:rsid w:val="00B06DB9"/>
    <w:rPr>
      <w:u w:val="single"/>
    </w:rPr>
  </w:style>
  <w:style w:type="paragraph" w:customStyle="1" w:styleId="TableBodyTextRight">
    <w:name w:val="Table Body Text Right"/>
    <w:basedOn w:val="TableBodyText"/>
    <w:rsid w:val="00B06D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DB9"/>
    <w:rPr>
      <w:sz w:val="18"/>
    </w:rPr>
  </w:style>
  <w:style w:type="paragraph" w:customStyle="1" w:styleId="BodySmallRight">
    <w:name w:val="Body Small Right"/>
    <w:basedOn w:val="BodyTextRight"/>
    <w:rsid w:val="00B06DB9"/>
    <w:rPr>
      <w:sz w:val="18"/>
      <w:szCs w:val="18"/>
    </w:rPr>
  </w:style>
  <w:style w:type="paragraph" w:customStyle="1" w:styleId="MarginEdition">
    <w:name w:val="Margin Edition"/>
    <w:basedOn w:val="MarginNote"/>
    <w:rsid w:val="00B06D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DB9"/>
    <w:rPr>
      <w:sz w:val="2"/>
      <w:szCs w:val="2"/>
    </w:rPr>
  </w:style>
  <w:style w:type="character" w:customStyle="1" w:styleId="Small">
    <w:name w:val="Small"/>
    <w:basedOn w:val="DefaultParagraphFont"/>
    <w:rsid w:val="00B06DB9"/>
    <w:rPr>
      <w:sz w:val="16"/>
    </w:rPr>
  </w:style>
  <w:style w:type="paragraph" w:customStyle="1" w:styleId="WideTable">
    <w:name w:val="Wide Table"/>
    <w:basedOn w:val="Normal"/>
    <w:rsid w:val="00B06D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DB9"/>
  </w:style>
  <w:style w:type="paragraph" w:styleId="Quote">
    <w:name w:val="Quote"/>
    <w:basedOn w:val="Heading1"/>
    <w:link w:val="QuoteChar"/>
    <w:qFormat/>
    <w:rsid w:val="00B06D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D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DB9"/>
    <w:pPr>
      <w:pageBreakBefore/>
    </w:pPr>
  </w:style>
  <w:style w:type="paragraph" w:customStyle="1" w:styleId="Border">
    <w:name w:val="Border"/>
    <w:basedOn w:val="Normal"/>
    <w:qFormat/>
    <w:rsid w:val="00B06D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D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D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D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D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D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D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D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DB9"/>
    <w:rPr>
      <w:u w:val="single"/>
    </w:rPr>
  </w:style>
  <w:style w:type="character" w:customStyle="1" w:styleId="BoldandItalics">
    <w:name w:val="Bold and Italics"/>
    <w:qFormat/>
    <w:rsid w:val="00B06DB9"/>
    <w:rPr>
      <w:b/>
      <w:i/>
      <w:u w:val="none"/>
    </w:rPr>
  </w:style>
  <w:style w:type="paragraph" w:styleId="BalloonText">
    <w:name w:val="Balloon Text"/>
    <w:basedOn w:val="Normal"/>
    <w:link w:val="BalloonTextChar"/>
    <w:rsid w:val="00B06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D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D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D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D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D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DB9"/>
    <w:pPr>
      <w:spacing w:before="0" w:after="0"/>
    </w:pPr>
  </w:style>
  <w:style w:type="paragraph" w:customStyle="1" w:styleId="BodyTextBold">
    <w:name w:val="Body Text Bold"/>
    <w:basedOn w:val="BodyText"/>
    <w:qFormat/>
    <w:rsid w:val="00B06DB9"/>
    <w:rPr>
      <w:b/>
    </w:rPr>
  </w:style>
  <w:style w:type="character" w:styleId="Hyperlink">
    <w:name w:val="Hyperlink"/>
    <w:basedOn w:val="DefaultParagraphFont"/>
    <w:uiPriority w:val="99"/>
    <w:unhideWhenUsed/>
    <w:rsid w:val="00661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4477</Characters>
  <Application>Microsoft Office Word</Application>
  <DocSecurity>0</DocSecurity>
  <Lines>179</Lines>
  <Paragraphs>111</Paragraphs>
  <ScaleCrop>false</ScaleCrop>
  <Company>Author-it Software Corporation Ltd.</Company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FNSFMK504 Complete confirmation and settlement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