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A01" w:rsidP="00D75A01">
      <w:pPr>
        <w:pStyle w:val="Title"/>
      </w:pPr>
      <w:r>
        <w:fldChar w:fldCharType="begin"/>
      </w:r>
      <w:r>
        <w:instrText xml:space="preserve"> TITLE   \* MERGEFORMAT </w:instrText>
      </w:r>
      <w:r>
        <w:fldChar w:fldCharType="separate"/>
      </w:r>
      <w:r>
        <w:t>FNSFMK416 Conduct work within financial markets compliance framework</w:t>
      </w:r>
      <w:r>
        <w:fldChar w:fldCharType="end"/>
      </w:r>
    </w:p>
    <w:p w:rsidR="00D75A01" w:rsidP="00D75A01">
      <w:pPr>
        <w:pStyle w:val="Version"/>
        <w:sectPr w:rsidSect="00BA2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37C" w:rsidP="00BA237C">
      <w:pPr>
        <w:pStyle w:val="SuperHeading"/>
      </w:pPr>
      <w:r w:rsidRPr="00BA237C">
        <w:t>FNSFMK416 Conduct work within financial markets compliance framework</w:t>
      </w:r>
    </w:p>
    <w:p w:rsidR="00000000" w:rsidRPr="00BA237C" w:rsidP="00BA237C">
      <w:pPr>
        <w:pStyle w:val="Heading1"/>
      </w:pPr>
      <w:bookmarkStart w:id="1" w:name="O_1074821"/>
      <w:bookmarkEnd w:id="1"/>
      <w:r w:rsidRPr="00BA237C">
        <w:t>Modification History</w:t>
      </w:r>
    </w:p>
    <w:tbl>
      <w:tblPr>
        <w:tblW w:w="0" w:type="auto"/>
        <w:tblLayout w:type="fixed"/>
        <w:tblCellMar>
          <w:left w:w="62" w:type="dxa"/>
          <w:right w:w="62" w:type="dxa"/>
        </w:tblCellMar>
        <w:tblLook w:val="0000"/>
      </w:tblPr>
      <w:tblGrid>
        <w:gridCol w:w="2627"/>
        <w:gridCol w:w="6337"/>
      </w:tblGrid>
      <w:tr w:rsidTr="00BA23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37C" w:rsidP="00BA237C">
            <w:pPr>
              <w:pStyle w:val="BodyText"/>
            </w:pPr>
            <w:r w:rsidRPr="00BA23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rPr>
                <w:rStyle w:val="SpecialBold"/>
              </w:rPr>
              <w:t>Comments</w:t>
            </w:r>
          </w:p>
        </w:tc>
      </w:tr>
      <w:tr w:rsidTr="00BA23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37C" w:rsidP="00BA237C">
            <w:pPr>
              <w:pStyle w:val="BodyText"/>
            </w:pPr>
            <w:r w:rsidRPr="00BA237C">
              <w:t>This version first released with FNS Financial Services Training Package Version 4.0.</w:t>
            </w:r>
          </w:p>
        </w:tc>
      </w:tr>
    </w:tbl>
    <w:p w:rsidR="00000000" w:rsidRPr="00BA237C" w:rsidP="00BA237C">
      <w:pPr>
        <w:pStyle w:val="BodyText"/>
      </w:pPr>
    </w:p>
    <w:p w:rsidR="00000000" w:rsidRPr="00BA237C" w:rsidP="00BA237C">
      <w:pPr>
        <w:pStyle w:val="AllowPageBreak"/>
      </w:pPr>
    </w:p>
    <w:p w:rsidR="00000000" w:rsidRPr="00BA237C" w:rsidP="00BA237C">
      <w:pPr>
        <w:pStyle w:val="Heading1"/>
      </w:pPr>
      <w:bookmarkStart w:id="2" w:name="O_1074822"/>
      <w:bookmarkEnd w:id="2"/>
      <w:r w:rsidRPr="00BA237C">
        <w:t>Application</w:t>
      </w:r>
    </w:p>
    <w:p w:rsidR="00000000" w:rsidRPr="00BA237C" w:rsidP="00D75A01">
      <w:pPr>
        <w:pStyle w:val="BodyText"/>
      </w:pPr>
      <w:r w:rsidRPr="00BA237C">
        <w:t>This unit describes the skills and knowledge required to identify statutory, legislative and regulatory requirements in financial markets and relate them to individual work practices to ensure ongoing adherence to the compliance framework.</w:t>
      </w:r>
    </w:p>
    <w:p w:rsidR="00000000" w:rsidRPr="00BA237C" w:rsidP="00D75A01">
      <w:pPr>
        <w:pStyle w:val="BodyText"/>
      </w:pPr>
      <w:r w:rsidRPr="00BA237C">
        <w:t>It applies to in</w:t>
      </w:r>
      <w:r w:rsidRPr="00BA237C">
        <w:t>dividuals who to carry out work in accordance with the compliance framework applying to job roles in financial markets.</w:t>
      </w:r>
    </w:p>
    <w:p w:rsidR="00000000" w:rsidRPr="00BA237C" w:rsidP="00D75A01">
      <w:pPr>
        <w:pStyle w:val="BodyText"/>
      </w:pPr>
      <w:r w:rsidRPr="00BA237C">
        <w:t>No licensing, legislative, regulatory or certification requirements apply to this unit at the time of publication.</w:t>
      </w:r>
    </w:p>
    <w:p w:rsidR="00000000" w:rsidRPr="00BA237C" w:rsidP="00BA237C">
      <w:pPr>
        <w:pStyle w:val="Heading1"/>
      </w:pPr>
      <w:bookmarkStart w:id="3" w:name="O_1074825"/>
      <w:bookmarkEnd w:id="3"/>
      <w:r w:rsidRPr="00BA237C">
        <w:t>Un</w:t>
      </w:r>
      <w:r w:rsidRPr="00BA237C">
        <w:t>it Sector</w:t>
      </w:r>
    </w:p>
    <w:p w:rsidR="00000000" w:rsidRPr="00BA237C" w:rsidP="00D75A01">
      <w:pPr>
        <w:pStyle w:val="BodyText"/>
      </w:pPr>
      <w:r w:rsidRPr="00BA237C">
        <w:t>Regulation, licensing and risk – Compliance</w:t>
      </w:r>
    </w:p>
    <w:p w:rsidR="00000000" w:rsidRPr="00BA237C" w:rsidP="00BA237C">
      <w:pPr>
        <w:pStyle w:val="Heading1"/>
      </w:pPr>
      <w:bookmarkStart w:id="4" w:name="O_1074826"/>
      <w:bookmarkEnd w:id="4"/>
      <w:r w:rsidRPr="00BA237C">
        <w:t>Elements and Performance Criteria</w:t>
      </w:r>
    </w:p>
    <w:tbl>
      <w:tblPr>
        <w:tblW w:w="9521" w:type="dxa"/>
        <w:tblLayout w:type="fixed"/>
        <w:tblCellMar>
          <w:left w:w="62" w:type="dxa"/>
          <w:right w:w="62" w:type="dxa"/>
        </w:tblCellMar>
        <w:tblLook w:val="0000"/>
      </w:tblPr>
      <w:tblGrid>
        <w:gridCol w:w="2777"/>
        <w:gridCol w:w="6744"/>
      </w:tblGrid>
      <w:tr w:rsidTr="00BA237C">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237C">
            <w:pPr>
              <w:pStyle w:val="BodyTextBold"/>
              <w:rPr>
                <w:lang w:val="en-NZ"/>
              </w:rPr>
            </w:pPr>
            <w:r w:rsidRPr="00BA237C">
              <w:t>ELEMENT</w:t>
            </w:r>
          </w:p>
        </w:tc>
        <w:tc>
          <w:tcPr>
            <w:tcW w:w="674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237C">
            <w:pPr>
              <w:pStyle w:val="BodyTextBold"/>
              <w:rPr>
                <w:lang w:val="en-NZ"/>
              </w:rPr>
            </w:pPr>
            <w:r w:rsidRPr="00BA237C">
              <w:t>PERFORMANCE CRITERIA</w:t>
            </w:r>
          </w:p>
        </w:tc>
      </w:tr>
      <w:tr w:rsidTr="00BA237C">
        <w:tblPrEx>
          <w:tblW w:w="9521" w:type="dxa"/>
          <w:tblLayout w:type="fixed"/>
          <w:tblCellMar>
            <w:left w:w="62" w:type="dxa"/>
            <w:right w:w="62" w:type="dxa"/>
          </w:tblCellMar>
          <w:tblLook w:val="0000"/>
        </w:tblPrEx>
        <w:tc>
          <w:tcPr>
            <w:tcW w:w="27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237C" w:rsidP="00BA237C">
            <w:pPr>
              <w:pStyle w:val="BodyText"/>
            </w:pPr>
            <w:r w:rsidRPr="00BA237C">
              <w:rPr>
                <w:rStyle w:val="Emphasis"/>
              </w:rPr>
              <w:t>Elements describe the essential outcomes.</w:t>
            </w:r>
          </w:p>
        </w:tc>
        <w:tc>
          <w:tcPr>
            <w:tcW w:w="674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rPr>
                <w:rStyle w:val="Emphasis"/>
              </w:rPr>
              <w:t>Performance criteria describe the performance needed to demonstrate achievement of the element.</w:t>
            </w:r>
          </w:p>
        </w:tc>
      </w:tr>
      <w:tr w:rsidTr="00BA237C">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List"/>
              <w:rPr>
                <w:lang w:val="en-NZ"/>
              </w:rPr>
            </w:pPr>
            <w:r w:rsidRPr="00BA237C">
              <w:t>1. Identify individual compliance requirements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37C" w:rsidP="00BA237C">
            <w:pPr>
              <w:pStyle w:val="List"/>
            </w:pPr>
            <w:r w:rsidRPr="00BA237C">
              <w:t xml:space="preserve">1.1 Identify global regulatory frameworks and regulators for financial markets </w:t>
            </w:r>
          </w:p>
          <w:p w:rsidR="00000000" w:rsidRPr="00BA237C" w:rsidP="00BA237C">
            <w:pPr>
              <w:pStyle w:val="List"/>
            </w:pPr>
            <w:r w:rsidRPr="00BA237C">
              <w:t>1.2</w:t>
            </w:r>
            <w:r w:rsidRPr="00BA237C">
              <w:tab/>
              <w:t>Assess commonalities and key</w:t>
            </w:r>
            <w:r w:rsidRPr="00BA237C">
              <w:t xml:space="preserve"> differences in legal requirements for buy-side and sell-side organisations</w:t>
            </w:r>
          </w:p>
          <w:p w:rsidR="00000000" w:rsidRPr="00BA237C" w:rsidP="00BA237C">
            <w:pPr>
              <w:pStyle w:val="List"/>
            </w:pPr>
            <w:r w:rsidRPr="00BA237C">
              <w:t>1.3</w:t>
            </w:r>
            <w:r w:rsidRPr="00BA237C">
              <w:tab/>
              <w:t>Identify regulatory requirements relevant to own job role</w:t>
            </w:r>
          </w:p>
          <w:p w:rsidR="00000000" w:rsidRPr="00BA237C" w:rsidP="00BA237C">
            <w:pPr>
              <w:pStyle w:val="List"/>
            </w:pPr>
            <w:r w:rsidRPr="00BA237C">
              <w:t>1.4</w:t>
            </w:r>
            <w:r w:rsidRPr="00BA237C">
              <w:tab/>
              <w:t>Identify industry standards, conventions, organisational requirements and whistleblowing policies and procedures r</w:t>
            </w:r>
            <w:r w:rsidRPr="00BA237C">
              <w:t xml:space="preserve">elevant to own job role </w:t>
            </w:r>
          </w:p>
          <w:p w:rsidR="00000000" w:rsidRPr="00BA237C" w:rsidP="00BA237C">
            <w:pPr>
              <w:pStyle w:val="List"/>
            </w:pPr>
            <w:r w:rsidRPr="00BA237C">
              <w:t>1.5</w:t>
            </w:r>
            <w:r w:rsidRPr="00BA237C">
              <w:tab/>
              <w:t>Identify obligations under the organisation’s code of conduct for own job role</w:t>
            </w:r>
          </w:p>
          <w:p w:rsidR="00000000" w:rsidP="00BA237C">
            <w:pPr>
              <w:pStyle w:val="List"/>
              <w:rPr>
                <w:lang w:val="en-NZ"/>
              </w:rPr>
            </w:pPr>
            <w:r w:rsidRPr="00BA237C">
              <w:t>1.6 Map compliance requirements against individual position description and work practices</w:t>
            </w:r>
          </w:p>
        </w:tc>
      </w:tr>
      <w:tr w:rsidTr="00BA237C">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List"/>
              <w:rPr>
                <w:lang w:val="en-NZ"/>
              </w:rPr>
            </w:pPr>
            <w:r w:rsidRPr="00BA237C">
              <w:t>2. Escalate compliance issues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37C" w:rsidP="00BA237C">
            <w:pPr>
              <w:pStyle w:val="List"/>
            </w:pPr>
            <w:r w:rsidRPr="00BA237C">
              <w:t>2.1 Identify critical steps for escalating regulatory and ethical concerns</w:t>
            </w:r>
          </w:p>
          <w:p w:rsidR="00000000" w:rsidRPr="00BA237C" w:rsidP="00BA237C">
            <w:pPr>
              <w:pStyle w:val="List"/>
            </w:pPr>
            <w:r w:rsidRPr="00BA237C">
              <w:t>2.2</w:t>
            </w:r>
            <w:r w:rsidRPr="00BA237C">
              <w:tab/>
              <w:t>Consult with appropriate persons when there is a potential breach of regulatory requirements or a breach of organisational policies or values</w:t>
            </w:r>
          </w:p>
          <w:p w:rsidR="00000000" w:rsidRPr="00BA237C" w:rsidP="00BA237C">
            <w:pPr>
              <w:pStyle w:val="List"/>
            </w:pPr>
            <w:r w:rsidRPr="00BA237C">
              <w:t>2.3</w:t>
            </w:r>
            <w:r w:rsidRPr="00BA237C">
              <w:tab/>
              <w:t>Escalate issues where there may</w:t>
            </w:r>
            <w:r w:rsidRPr="00BA237C">
              <w:t xml:space="preserve"> be a breach of regulatory requirements or organisational policies, in accordance with organisational policies and procedures</w:t>
            </w:r>
          </w:p>
          <w:p w:rsidR="00000000" w:rsidP="00BA237C">
            <w:pPr>
              <w:pStyle w:val="List"/>
              <w:rPr>
                <w:lang w:val="en-NZ"/>
              </w:rPr>
            </w:pPr>
            <w:r w:rsidRPr="00BA237C">
              <w:t>2.4</w:t>
            </w:r>
            <w:r w:rsidRPr="00BA237C">
              <w:tab/>
              <w:t>Analyse and reflect on personal efficacy in identifying and actioning compliance issues</w:t>
            </w:r>
          </w:p>
        </w:tc>
      </w:tr>
      <w:tr w:rsidTr="00BA237C">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List"/>
              <w:rPr>
                <w:lang w:val="en-NZ"/>
              </w:rPr>
            </w:pPr>
            <w:r w:rsidRPr="00BA237C">
              <w:t>3. Monitor and apply changes in compl</w:t>
            </w:r>
            <w:r w:rsidRPr="00BA237C">
              <w:t>iance requirements to own job role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37C" w:rsidP="00BA237C">
            <w:pPr>
              <w:pStyle w:val="List"/>
            </w:pPr>
            <w:r w:rsidRPr="00BA237C">
              <w:t>3.1 Monitor changes in regulatory environment that may affect the requirements or responsibilities of own job role</w:t>
            </w:r>
          </w:p>
          <w:p w:rsidR="00000000" w:rsidRPr="00BA237C" w:rsidP="00BA237C">
            <w:pPr>
              <w:pStyle w:val="List"/>
            </w:pPr>
            <w:r w:rsidRPr="00BA237C">
              <w:t>3.2 Access and analyse documentation relating to changes in compliance issues</w:t>
            </w:r>
          </w:p>
          <w:p w:rsidR="00000000" w:rsidRPr="00BA237C" w:rsidP="00BA237C">
            <w:pPr>
              <w:pStyle w:val="List"/>
            </w:pPr>
            <w:r w:rsidRPr="00BA237C">
              <w:t>3.3</w:t>
            </w:r>
            <w:r w:rsidRPr="00BA237C">
              <w:tab/>
              <w:t>Undertake organisational</w:t>
            </w:r>
            <w:r w:rsidRPr="00BA237C">
              <w:t xml:space="preserve"> training addressing changes in compliance requirements</w:t>
            </w:r>
          </w:p>
        </w:tc>
      </w:tr>
    </w:tbl>
    <w:p w:rsidR="00000000" w:rsidRPr="00BA237C" w:rsidP="00BA237C">
      <w:pPr>
        <w:pStyle w:val="List2"/>
      </w:pPr>
    </w:p>
    <w:p w:rsidR="00000000" w:rsidRPr="00BA237C" w:rsidP="00BA237C">
      <w:pPr>
        <w:pStyle w:val="AllowPageBreak"/>
      </w:pPr>
    </w:p>
    <w:p w:rsidR="00000000" w:rsidRPr="00BA237C" w:rsidP="00BA237C">
      <w:pPr>
        <w:pStyle w:val="Heading1"/>
      </w:pPr>
      <w:bookmarkStart w:id="5" w:name="O_1074827"/>
      <w:bookmarkEnd w:id="5"/>
      <w:r w:rsidRPr="00BA237C">
        <w:t>Foundation Skills</w:t>
      </w:r>
    </w:p>
    <w:p w:rsidR="00000000" w:rsidRPr="00D75A01" w:rsidP="00D75A01">
      <w:pPr>
        <w:pStyle w:val="BodyText"/>
        <w:rPr>
          <w:i/>
        </w:rPr>
      </w:pPr>
      <w:r w:rsidRPr="00D75A01">
        <w:rPr>
          <w:rStyle w:val="Emphasis"/>
        </w:rPr>
        <w:t>This section describes those language, literacy, numeracy and employment skills that are essential to performance but not explicit in the performance criteria.</w:t>
      </w:r>
    </w:p>
    <w:tbl>
      <w:tblPr>
        <w:tblW w:w="9521" w:type="dxa"/>
        <w:tblLayout w:type="fixed"/>
        <w:tblCellMar>
          <w:left w:w="62" w:type="dxa"/>
          <w:right w:w="62" w:type="dxa"/>
        </w:tblCellMar>
        <w:tblLook w:val="0000"/>
      </w:tblPr>
      <w:tblGrid>
        <w:gridCol w:w="2438"/>
        <w:gridCol w:w="7083"/>
      </w:tblGrid>
      <w:tr w:rsidTr="00BA237C">
        <w:tblPrEx>
          <w:tblW w:w="9521"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37C" w:rsidP="00BA237C">
            <w:pPr>
              <w:pStyle w:val="BodyText"/>
            </w:pPr>
            <w:r w:rsidRPr="00BA237C">
              <w:rPr>
                <w:rStyle w:val="SpecialBold"/>
              </w:rPr>
              <w:t>S</w:t>
            </w:r>
            <w:r w:rsidRPr="00BA237C">
              <w:rPr>
                <w:rStyle w:val="SpecialBold"/>
              </w:rPr>
              <w:t>kill</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rPr>
                <w:rStyle w:val="SpecialBold"/>
              </w:rPr>
              <w:t>Description</w:t>
            </w:r>
          </w:p>
        </w:tc>
      </w:tr>
      <w:tr w:rsidTr="00BA237C">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t>Learning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237C">
            <w:pPr>
              <w:pStyle w:val="ListBullet"/>
              <w:rPr>
                <w:lang w:val="en-NZ"/>
              </w:rPr>
            </w:pPr>
            <w:r w:rsidRPr="00BA237C">
              <w:t>Reflects on own actions to improve future performance</w:t>
            </w:r>
          </w:p>
        </w:tc>
      </w:tr>
      <w:tr w:rsidTr="00BA237C">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t>Reading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237C" w:rsidP="00BA237C">
            <w:pPr>
              <w:pStyle w:val="ListBullet"/>
            </w:pPr>
            <w:r w:rsidRPr="00BA237C">
              <w:t>Analyses complex information from a range of sources and consolidates information to determine requirements</w:t>
            </w:r>
          </w:p>
          <w:p w:rsidR="00000000" w:rsidP="00BA237C">
            <w:pPr>
              <w:pStyle w:val="ListBullet"/>
              <w:rPr>
                <w:lang w:val="en-NZ"/>
              </w:rPr>
            </w:pPr>
            <w:r w:rsidRPr="00BA237C">
              <w:t>Identifies and analyses complex texts to determine key information, specific requirements and responsibilities</w:t>
            </w:r>
          </w:p>
        </w:tc>
      </w:tr>
      <w:tr w:rsidTr="00BA237C">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t>Oral Communication</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237C" w:rsidP="00BA237C">
            <w:pPr>
              <w:pStyle w:val="ListBullet"/>
            </w:pPr>
            <w:r w:rsidRPr="00BA237C">
              <w:t>Discusses compliance or ethical issues using structure and language to suit the audience</w:t>
            </w:r>
          </w:p>
          <w:p w:rsidR="00000000" w:rsidP="00BA237C">
            <w:pPr>
              <w:pStyle w:val="ListBullet"/>
              <w:rPr>
                <w:lang w:val="en-NZ"/>
              </w:rPr>
            </w:pPr>
            <w:r w:rsidRPr="00BA237C">
              <w:t>Uses listening and questioning tech</w:t>
            </w:r>
            <w:r w:rsidRPr="00BA237C">
              <w:t>niques to confirm understanding of compliance requirements</w:t>
            </w:r>
          </w:p>
        </w:tc>
      </w:tr>
      <w:tr w:rsidTr="00BA237C">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t>Self-management</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237C">
            <w:pPr>
              <w:pStyle w:val="ListBullet"/>
              <w:rPr>
                <w:lang w:val="en-NZ"/>
              </w:rPr>
            </w:pPr>
            <w:r w:rsidRPr="00BA237C">
              <w:t>Takes personal responsibility for following explicit and implicit policies, procedures and legislative requirements</w:t>
            </w:r>
          </w:p>
        </w:tc>
      </w:tr>
      <w:tr w:rsidTr="00BA237C">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t>Teamwork</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237C">
            <w:pPr>
              <w:pStyle w:val="ListBullet"/>
              <w:rPr>
                <w:lang w:val="en-NZ"/>
              </w:rPr>
            </w:pPr>
            <w:r w:rsidRPr="00BA237C">
              <w:t>Selects and uses appropriate communication conventions and practices when discussing, seeking or sharing information</w:t>
            </w:r>
          </w:p>
        </w:tc>
      </w:tr>
      <w:tr w:rsidTr="00BA237C">
        <w:tblPrEx>
          <w:tblW w:w="9521" w:type="dxa"/>
          <w:tblLayout w:type="fixed"/>
          <w:tblCellMar>
            <w:left w:w="62" w:type="dxa"/>
            <w:right w:w="62" w:type="dxa"/>
          </w:tblCellMar>
          <w:tblLook w:val="0000"/>
        </w:tblPrEx>
        <w:trPr>
          <w:trHeight w:val="85"/>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37C">
            <w:pPr>
              <w:pStyle w:val="BodyText"/>
              <w:rPr>
                <w:lang w:val="en-NZ"/>
              </w:rPr>
            </w:pPr>
            <w:r w:rsidRPr="00BA237C">
              <w:t>Planning and organisation</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237C" w:rsidP="00BA237C">
            <w:pPr>
              <w:pStyle w:val="ListBullet"/>
            </w:pPr>
            <w:r w:rsidRPr="00BA237C">
              <w:t>Systematically gathers and analyses information, reviews information and evaluates options in order to inform d</w:t>
            </w:r>
            <w:r w:rsidRPr="00BA237C">
              <w:t>ecisions about compliance requirements</w:t>
            </w:r>
          </w:p>
        </w:tc>
      </w:tr>
    </w:tbl>
    <w:p w:rsidR="00000000" w:rsidRPr="00BA237C" w:rsidP="00BA237C">
      <w:pPr>
        <w:pStyle w:val="BodyText"/>
      </w:pPr>
    </w:p>
    <w:p w:rsidR="00000000" w:rsidRPr="00BA237C" w:rsidP="00BA237C">
      <w:pPr>
        <w:pStyle w:val="AllowPageBreak"/>
      </w:pPr>
    </w:p>
    <w:p w:rsidR="00000000" w:rsidRPr="00BA237C" w:rsidP="00BA237C">
      <w:pPr>
        <w:pStyle w:val="Heading1"/>
      </w:pPr>
      <w:bookmarkStart w:id="6" w:name="O_1074829"/>
      <w:bookmarkEnd w:id="6"/>
      <w:r w:rsidRPr="00BA237C">
        <w:t>Unit Mapping Information</w:t>
      </w:r>
    </w:p>
    <w:p w:rsidR="00000000" w:rsidRPr="00BA237C" w:rsidP="00D75A01">
      <w:pPr>
        <w:pStyle w:val="BodyText"/>
      </w:pPr>
      <w:r w:rsidRPr="00BA237C">
        <w:t>No equivalent unit. New unit.</w:t>
      </w:r>
    </w:p>
    <w:p w:rsidR="00000000" w:rsidRPr="00BA237C" w:rsidP="00BA237C">
      <w:pPr>
        <w:pStyle w:val="Heading1"/>
      </w:pPr>
      <w:bookmarkStart w:id="7" w:name="O_1074836"/>
      <w:bookmarkEnd w:id="7"/>
      <w:r w:rsidRPr="00BA237C">
        <w:t>Links</w:t>
      </w:r>
    </w:p>
    <w:p w:rsidR="00000000" w:rsidRPr="00BA237C" w:rsidP="00D75A01">
      <w:pPr>
        <w:pStyle w:val="BodyText"/>
      </w:pPr>
      <w:r w:rsidRPr="00BA237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D62A2">
        <w:rPr>
          <w:rStyle w:val="Hyperlink"/>
        </w:rPr>
        <w:t>https://vetnet.gov.au/Pages/TrainingDocs.aspx?q=c7200cc8-0566-4f04-b76f-e89fd6f102fe</w:t>
      </w:r>
      <w:r>
        <w:fldChar w:fldCharType="end"/>
      </w:r>
    </w:p>
    <w:p w:rsidR="00000000" w:rsidRPr="00BA237C" w:rsidP="00BA237C"/>
    <w:sectPr w:rsidSect="00BA23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7C" w:rsidRPr="00D75A01" w:rsidP="00D75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A01" w:rsidP="00BA2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5A01" w:rsidP="00BA23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75A01" w:rsidP="00BA2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37C" w:rsidRPr="00D75A01" w:rsidP="00D75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A01" w:rsidRPr="002D2AF8" w:rsidP="00BA237C">
    <w:pPr>
      <w:pStyle w:val="Header"/>
      <w:framePr w:wrap="around"/>
    </w:pPr>
    <w:r>
      <w:fldChar w:fldCharType="begin"/>
    </w:r>
    <w:r>
      <w:instrText xml:space="preserve"> TITLE   \* MERGEFORMAT </w:instrText>
    </w:r>
    <w:r>
      <w:fldChar w:fldCharType="separate"/>
    </w:r>
    <w:r>
      <w:t>FNSFMK416 Conduct work within financial markets compliance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D75A01" w:rsidP="00BA2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146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D8D6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37C"/>
    <w:pPr>
      <w:spacing w:before="360" w:after="60"/>
      <w:outlineLvl w:val="0"/>
    </w:pPr>
    <w:rPr>
      <w:sz w:val="32"/>
    </w:rPr>
  </w:style>
  <w:style w:type="paragraph" w:styleId="Heading2">
    <w:name w:val="heading 2"/>
    <w:basedOn w:val="HeadingBase"/>
    <w:next w:val="BodyText"/>
    <w:link w:val="Heading2Char"/>
    <w:qFormat/>
    <w:rsid w:val="00BA237C"/>
    <w:pPr>
      <w:keepLines/>
      <w:spacing w:before="240" w:after="120"/>
      <w:outlineLvl w:val="1"/>
    </w:pPr>
    <w:rPr>
      <w:sz w:val="28"/>
      <w:szCs w:val="40"/>
    </w:rPr>
  </w:style>
  <w:style w:type="paragraph" w:styleId="Heading3">
    <w:name w:val="heading 3"/>
    <w:basedOn w:val="HeadingBase"/>
    <w:next w:val="BodyText"/>
    <w:link w:val="Heading3Char"/>
    <w:qFormat/>
    <w:rsid w:val="00BA237C"/>
    <w:pPr>
      <w:spacing w:before="180" w:after="120"/>
      <w:outlineLvl w:val="2"/>
    </w:pPr>
    <w:rPr>
      <w:spacing w:val="-10"/>
      <w:kern w:val="32"/>
    </w:rPr>
  </w:style>
  <w:style w:type="paragraph" w:styleId="Heading4">
    <w:name w:val="heading 4"/>
    <w:basedOn w:val="HeadingBase"/>
    <w:next w:val="BodyText"/>
    <w:link w:val="Heading4Char"/>
    <w:qFormat/>
    <w:rsid w:val="00BA237C"/>
    <w:pPr>
      <w:spacing w:before="160" w:after="120"/>
      <w:outlineLvl w:val="3"/>
    </w:pPr>
    <w:rPr>
      <w:sz w:val="22"/>
    </w:rPr>
  </w:style>
  <w:style w:type="paragraph" w:styleId="Heading5">
    <w:name w:val="heading 5"/>
    <w:basedOn w:val="HeadingBase"/>
    <w:next w:val="Normal"/>
    <w:link w:val="Heading5Char"/>
    <w:qFormat/>
    <w:rsid w:val="00BA237C"/>
    <w:pPr>
      <w:spacing w:before="80"/>
      <w:outlineLvl w:val="4"/>
    </w:pPr>
    <w:rPr>
      <w:color w:val="918585"/>
      <w:sz w:val="20"/>
    </w:rPr>
  </w:style>
  <w:style w:type="paragraph" w:styleId="Heading6">
    <w:name w:val="heading 6"/>
    <w:basedOn w:val="HeadingBase"/>
    <w:next w:val="Normal"/>
    <w:link w:val="Heading6Char"/>
    <w:qFormat/>
    <w:rsid w:val="00BA237C"/>
    <w:pPr>
      <w:spacing w:before="60"/>
      <w:outlineLvl w:val="5"/>
    </w:pPr>
    <w:rPr>
      <w:color w:val="918585"/>
      <w:sz w:val="20"/>
    </w:rPr>
  </w:style>
  <w:style w:type="paragraph" w:styleId="Heading7">
    <w:name w:val="heading 7"/>
    <w:basedOn w:val="Normal"/>
    <w:next w:val="Normal"/>
    <w:link w:val="Heading7Char"/>
    <w:qFormat/>
    <w:rsid w:val="00BA237C"/>
    <w:pPr>
      <w:ind w:left="720"/>
      <w:outlineLvl w:val="6"/>
    </w:pPr>
    <w:rPr>
      <w:i/>
    </w:rPr>
  </w:style>
  <w:style w:type="paragraph" w:styleId="Heading8">
    <w:name w:val="heading 8"/>
    <w:basedOn w:val="Normal"/>
    <w:next w:val="Normal"/>
    <w:link w:val="Heading8Char"/>
    <w:qFormat/>
    <w:rsid w:val="00BA237C"/>
    <w:pPr>
      <w:ind w:left="720"/>
      <w:outlineLvl w:val="7"/>
    </w:pPr>
    <w:rPr>
      <w:i/>
    </w:rPr>
  </w:style>
  <w:style w:type="paragraph" w:styleId="Heading9">
    <w:name w:val="heading 9"/>
    <w:basedOn w:val="Normal"/>
    <w:next w:val="Normal"/>
    <w:link w:val="Heading9Char"/>
    <w:qFormat/>
    <w:rsid w:val="00BA237C"/>
    <w:pPr>
      <w:ind w:left="720"/>
      <w:outlineLvl w:val="8"/>
    </w:pPr>
    <w:rPr>
      <w:i/>
    </w:rPr>
  </w:style>
  <w:style w:type="character" w:default="1" w:styleId="DefaultParagraphFont">
    <w:name w:val="Default Paragraph Font"/>
    <w:uiPriority w:val="1"/>
    <w:unhideWhenUsed/>
    <w:rsid w:val="00BA2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37C"/>
  </w:style>
  <w:style w:type="character" w:customStyle="1" w:styleId="Heading1Char">
    <w:name w:val="Heading 1 Char"/>
    <w:basedOn w:val="DefaultParagraphFont"/>
    <w:link w:val="Heading1"/>
    <w:rsid w:val="00BA237C"/>
    <w:rPr>
      <w:rFonts w:ascii="Times New Roman" w:eastAsia="Times New Roman" w:hAnsi="Times New Roman" w:cs="Times New Roman"/>
      <w:b/>
      <w:sz w:val="32"/>
      <w:szCs w:val="20"/>
      <w:lang w:eastAsia="en-US"/>
    </w:rPr>
  </w:style>
  <w:style w:type="paragraph" w:styleId="BodyText">
    <w:name w:val="Body Text"/>
    <w:basedOn w:val="Normal"/>
    <w:link w:val="BodyTextChar"/>
    <w:rsid w:val="00BA2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37C"/>
    <w:rPr>
      <w:rFonts w:ascii="Times New Roman" w:eastAsia="Times New Roman" w:hAnsi="Times New Roman" w:cs="Times New Roman"/>
      <w:sz w:val="24"/>
      <w:lang w:eastAsia="en-US"/>
    </w:rPr>
  </w:style>
  <w:style w:type="paragraph" w:styleId="List">
    <w:name w:val="List"/>
    <w:basedOn w:val="BodyText"/>
    <w:next w:val="BodyText"/>
    <w:rsid w:val="00BA237C"/>
    <w:pPr>
      <w:tabs>
        <w:tab w:val="left" w:pos="340"/>
      </w:tabs>
      <w:spacing w:before="60" w:after="60"/>
      <w:ind w:left="340" w:hanging="340"/>
    </w:pPr>
  </w:style>
  <w:style w:type="paragraph" w:styleId="ListBullet">
    <w:name w:val="List Bullet"/>
    <w:basedOn w:val="List"/>
    <w:rsid w:val="00BA237C"/>
    <w:pPr>
      <w:numPr>
        <w:numId w:val="11"/>
      </w:numPr>
      <w:tabs>
        <w:tab w:val="clear" w:pos="340"/>
      </w:tabs>
      <w:spacing w:before="40" w:after="40"/>
    </w:pPr>
  </w:style>
  <w:style w:type="character" w:customStyle="1" w:styleId="SpecialBold">
    <w:name w:val="Special Bold"/>
    <w:basedOn w:val="DefaultParagraphFont"/>
    <w:rsid w:val="00BA237C"/>
    <w:rPr>
      <w:b/>
      <w:spacing w:val="0"/>
    </w:rPr>
  </w:style>
  <w:style w:type="character" w:styleId="Emphasis">
    <w:name w:val="Emphasis"/>
    <w:basedOn w:val="DefaultParagraphFont"/>
    <w:qFormat/>
    <w:rsid w:val="00BA237C"/>
    <w:rPr>
      <w:i/>
    </w:rPr>
  </w:style>
  <w:style w:type="paragraph" w:customStyle="1" w:styleId="SuperHeading">
    <w:name w:val="SuperHeading"/>
    <w:basedOn w:val="Normal"/>
    <w:rsid w:val="00BA237C"/>
    <w:pPr>
      <w:spacing w:before="240" w:after="120"/>
      <w:outlineLvl w:val="0"/>
    </w:pPr>
    <w:rPr>
      <w:rFonts w:ascii="Times New Roman" w:hAnsi="Times New Roman"/>
      <w:b/>
      <w:sz w:val="32"/>
    </w:rPr>
  </w:style>
  <w:style w:type="paragraph" w:customStyle="1" w:styleId="AllowPageBreak">
    <w:name w:val="AllowPageBreak"/>
    <w:rsid w:val="00BA23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237C"/>
    <w:pPr>
      <w:tabs>
        <w:tab w:val="left" w:pos="680"/>
      </w:tabs>
      <w:spacing w:before="60" w:after="60"/>
      <w:ind w:left="680" w:hanging="340"/>
    </w:pPr>
  </w:style>
  <w:style w:type="paragraph" w:customStyle="1" w:styleId="BodyTextBold">
    <w:name w:val="Body Text Bold"/>
    <w:basedOn w:val="BodyText"/>
    <w:qFormat/>
    <w:rsid w:val="00BA237C"/>
    <w:rPr>
      <w:b/>
    </w:rPr>
  </w:style>
  <w:style w:type="character" w:customStyle="1" w:styleId="Heading2Char">
    <w:name w:val="Heading 2 Char"/>
    <w:basedOn w:val="DefaultParagraphFont"/>
    <w:link w:val="Heading2"/>
    <w:rsid w:val="00BA2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37C"/>
    <w:rPr>
      <w:rFonts w:ascii="Courier New" w:eastAsia="Times New Roman" w:hAnsi="Courier New" w:cs="Times New Roman"/>
      <w:i/>
      <w:szCs w:val="20"/>
      <w:lang w:eastAsia="en-US"/>
    </w:rPr>
  </w:style>
  <w:style w:type="paragraph" w:customStyle="1" w:styleId="HeadingBase">
    <w:name w:val="Heading Base"/>
    <w:rsid w:val="00BA2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37C"/>
    <w:pPr>
      <w:tabs>
        <w:tab w:val="right" w:leader="dot" w:pos="9072"/>
      </w:tabs>
      <w:ind w:left="567"/>
    </w:pPr>
    <w:rPr>
      <w:szCs w:val="22"/>
    </w:rPr>
  </w:style>
  <w:style w:type="paragraph" w:customStyle="1" w:styleId="TOCBase">
    <w:name w:val="TOC Base"/>
    <w:rsid w:val="00BA2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37C"/>
    <w:pPr>
      <w:tabs>
        <w:tab w:val="right" w:leader="dot" w:pos="9072"/>
      </w:tabs>
      <w:spacing w:before="40" w:after="40"/>
      <w:ind w:left="284"/>
    </w:pPr>
    <w:rPr>
      <w:rFonts w:ascii="Times New Roman" w:hAnsi="Times New Roman"/>
    </w:rPr>
  </w:style>
  <w:style w:type="paragraph" w:styleId="TOC1">
    <w:name w:val="toc 1"/>
    <w:basedOn w:val="TOCBase"/>
    <w:next w:val="Normal"/>
    <w:rsid w:val="00BA2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37C"/>
    <w:rPr>
      <w:rFonts w:ascii="Times New Roman" w:eastAsia="Times New Roman" w:hAnsi="Times New Roman" w:cs="Times New Roman"/>
      <w:sz w:val="16"/>
      <w:lang w:eastAsia="en-US"/>
    </w:rPr>
  </w:style>
  <w:style w:type="paragraph" w:styleId="Title">
    <w:name w:val="Title"/>
    <w:basedOn w:val="HeadingBase"/>
    <w:link w:val="TitleChar"/>
    <w:qFormat/>
    <w:rsid w:val="00BA237C"/>
    <w:pPr>
      <w:spacing w:before="5040"/>
      <w:jc w:val="center"/>
    </w:pPr>
    <w:rPr>
      <w:sz w:val="48"/>
      <w:szCs w:val="72"/>
      <w:lang w:val="en-US"/>
    </w:rPr>
  </w:style>
  <w:style w:type="character" w:customStyle="1" w:styleId="TitleChar">
    <w:name w:val="Title Char"/>
    <w:basedOn w:val="DefaultParagraphFont"/>
    <w:link w:val="Title"/>
    <w:rsid w:val="00BA2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37C"/>
    <w:pPr>
      <w:tabs>
        <w:tab w:val="left" w:pos="3600"/>
        <w:tab w:val="left" w:pos="3958"/>
      </w:tabs>
    </w:pPr>
  </w:style>
  <w:style w:type="paragraph" w:customStyle="1" w:styleId="Note">
    <w:name w:val="Note"/>
    <w:basedOn w:val="BodyText"/>
    <w:rsid w:val="00BA2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37C"/>
    <w:pPr>
      <w:framePr w:wrap="auto" w:hAnchor="text" w:y="6049"/>
    </w:pPr>
    <w:rPr>
      <w:color w:val="000000"/>
      <w:sz w:val="40"/>
    </w:rPr>
  </w:style>
  <w:style w:type="paragraph" w:customStyle="1" w:styleId="TOCTitle">
    <w:name w:val="TOCTitle"/>
    <w:basedOn w:val="Heading1"/>
    <w:rsid w:val="00BA237C"/>
    <w:pPr>
      <w:spacing w:after="240"/>
      <w:jc w:val="center"/>
      <w:outlineLvl w:val="9"/>
    </w:pPr>
    <w:rPr>
      <w:caps/>
    </w:rPr>
  </w:style>
  <w:style w:type="paragraph" w:customStyle="1" w:styleId="Version">
    <w:name w:val="Version"/>
    <w:rsid w:val="00BA23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37C"/>
    <w:pPr>
      <w:numPr>
        <w:numId w:val="12"/>
      </w:numPr>
      <w:tabs>
        <w:tab w:val="clear" w:pos="680"/>
      </w:tabs>
    </w:pPr>
  </w:style>
  <w:style w:type="paragraph" w:styleId="Index1">
    <w:name w:val="index 1"/>
    <w:basedOn w:val="Normal"/>
    <w:next w:val="Normal"/>
    <w:semiHidden/>
    <w:rsid w:val="00BA237C"/>
    <w:pPr>
      <w:keepNext w:val="0"/>
      <w:tabs>
        <w:tab w:val="right" w:pos="4176"/>
      </w:tabs>
      <w:ind w:left="198" w:hanging="198"/>
    </w:pPr>
    <w:rPr>
      <w:rFonts w:ascii="Garamond" w:hAnsi="Garamond"/>
    </w:rPr>
  </w:style>
  <w:style w:type="paragraph" w:styleId="IndexHeading">
    <w:name w:val="index heading"/>
    <w:basedOn w:val="Normal"/>
    <w:next w:val="Index1"/>
    <w:semiHidden/>
    <w:rsid w:val="00BA237C"/>
    <w:pPr>
      <w:spacing w:before="120" w:after="120"/>
    </w:pPr>
    <w:rPr>
      <w:rFonts w:ascii="Arial" w:hAnsi="Arial"/>
      <w:b/>
      <w:color w:val="918585"/>
      <w:sz w:val="24"/>
    </w:rPr>
  </w:style>
  <w:style w:type="paragraph" w:styleId="Header">
    <w:name w:val="header"/>
    <w:basedOn w:val="Normal"/>
    <w:link w:val="HeaderChar"/>
    <w:rsid w:val="00BA2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37C"/>
    <w:rPr>
      <w:rFonts w:ascii="Times New Roman" w:eastAsia="Times New Roman" w:hAnsi="Times New Roman" w:cs="Times New Roman"/>
      <w:sz w:val="16"/>
      <w:szCs w:val="20"/>
      <w:lang w:val="en-GB" w:eastAsia="en-US"/>
    </w:rPr>
  </w:style>
  <w:style w:type="paragraph" w:customStyle="1" w:styleId="Chapter">
    <w:name w:val="Chapter"/>
    <w:basedOn w:val="Normal"/>
    <w:rsid w:val="00BA237C"/>
    <w:pPr>
      <w:spacing w:before="240"/>
    </w:pPr>
    <w:rPr>
      <w:rFonts w:ascii="Times New Roman" w:hAnsi="Times New Roman"/>
      <w:smallCaps/>
      <w:spacing w:val="80"/>
      <w:sz w:val="28"/>
    </w:rPr>
  </w:style>
  <w:style w:type="paragraph" w:customStyle="1" w:styleId="InChapter">
    <w:name w:val="InChapter"/>
    <w:basedOn w:val="Heading3"/>
    <w:rsid w:val="00BA237C"/>
    <w:pPr>
      <w:spacing w:after="240"/>
      <w:outlineLvl w:val="9"/>
    </w:pPr>
    <w:rPr>
      <w:noProof/>
    </w:rPr>
  </w:style>
  <w:style w:type="paragraph" w:styleId="Index2">
    <w:name w:val="index 2"/>
    <w:basedOn w:val="Normal"/>
    <w:next w:val="Normal"/>
    <w:semiHidden/>
    <w:rsid w:val="00BA237C"/>
    <w:pPr>
      <w:tabs>
        <w:tab w:val="right" w:pos="4176"/>
      </w:tabs>
      <w:ind w:left="568" w:hanging="284"/>
    </w:pPr>
    <w:rPr>
      <w:rFonts w:ascii="Garamond" w:hAnsi="Garamond"/>
    </w:rPr>
  </w:style>
  <w:style w:type="paragraph" w:customStyle="1" w:styleId="Byline">
    <w:name w:val="Byline"/>
    <w:rsid w:val="00BA2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37C"/>
    <w:pPr>
      <w:tabs>
        <w:tab w:val="clear" w:pos="3600"/>
        <w:tab w:val="clear" w:pos="3958"/>
      </w:tabs>
      <w:jc w:val="right"/>
    </w:pPr>
  </w:style>
  <w:style w:type="paragraph" w:styleId="Caption">
    <w:name w:val="caption"/>
    <w:basedOn w:val="BodyText"/>
    <w:next w:val="Normal"/>
    <w:qFormat/>
    <w:rsid w:val="00BA237C"/>
    <w:pPr>
      <w:framePr w:w="2268" w:hSpace="181" w:vSpace="181" w:wrap="around" w:vAnchor="text" w:hAnchor="page" w:x="1135" w:y="285" w:anchorLock="1"/>
    </w:pPr>
    <w:rPr>
      <w:i/>
    </w:rPr>
  </w:style>
  <w:style w:type="paragraph" w:customStyle="1" w:styleId="MiniTOCTitle">
    <w:name w:val="MiniTOCTitle"/>
    <w:basedOn w:val="Heading4"/>
    <w:rsid w:val="00BA237C"/>
    <w:pPr>
      <w:spacing w:before="240"/>
      <w:outlineLvl w:val="9"/>
    </w:pPr>
    <w:rPr>
      <w:noProof/>
      <w:sz w:val="24"/>
    </w:rPr>
  </w:style>
  <w:style w:type="paragraph" w:customStyle="1" w:styleId="MiniTOCItem">
    <w:name w:val="MiniTOCItem"/>
    <w:basedOn w:val="ListBullet"/>
    <w:rsid w:val="00BA237C"/>
    <w:pPr>
      <w:numPr>
        <w:numId w:val="0"/>
      </w:numPr>
      <w:tabs>
        <w:tab w:val="right" w:leader="dot" w:pos="6521"/>
      </w:tabs>
      <w:spacing w:before="0" w:after="0"/>
    </w:pPr>
  </w:style>
  <w:style w:type="paragraph" w:customStyle="1" w:styleId="TOFTitle">
    <w:name w:val="TOFTitle"/>
    <w:basedOn w:val="TOCTitle"/>
    <w:rsid w:val="00BA237C"/>
  </w:style>
  <w:style w:type="paragraph" w:styleId="TableofFigures">
    <w:name w:val="table of figures"/>
    <w:basedOn w:val="Normal"/>
    <w:next w:val="Normal"/>
    <w:semiHidden/>
    <w:rsid w:val="00BA237C"/>
    <w:pPr>
      <w:tabs>
        <w:tab w:val="right" w:leader="dot" w:pos="9072"/>
      </w:tabs>
      <w:ind w:left="970" w:hanging="403"/>
    </w:pPr>
    <w:rPr>
      <w:rFonts w:ascii="Times New Roman" w:hAnsi="Times New Roman"/>
      <w:b/>
    </w:rPr>
  </w:style>
  <w:style w:type="paragraph" w:styleId="ListNumber">
    <w:name w:val="List Number"/>
    <w:basedOn w:val="List"/>
    <w:rsid w:val="00BA237C"/>
    <w:pPr>
      <w:numPr>
        <w:numId w:val="14"/>
      </w:numPr>
      <w:tabs>
        <w:tab w:val="clear" w:pos="340"/>
      </w:tabs>
    </w:pPr>
  </w:style>
  <w:style w:type="character" w:customStyle="1" w:styleId="WingdingSymbols">
    <w:name w:val="Wingding Symbols"/>
    <w:rsid w:val="00BA237C"/>
    <w:rPr>
      <w:rFonts w:ascii="Wingdings" w:hAnsi="Wingdings"/>
    </w:rPr>
  </w:style>
  <w:style w:type="paragraph" w:customStyle="1" w:styleId="TableHeading">
    <w:name w:val="Table Heading"/>
    <w:basedOn w:val="HeadingBase"/>
    <w:rsid w:val="00BA237C"/>
    <w:pPr>
      <w:keepLines/>
      <w:pBdr>
        <w:bottom w:val="single" w:sz="6" w:space="1" w:color="918585"/>
      </w:pBdr>
      <w:spacing w:before="240"/>
    </w:pPr>
  </w:style>
  <w:style w:type="character" w:customStyle="1" w:styleId="HotSpot">
    <w:name w:val="HotSpot"/>
    <w:rsid w:val="00BA237C"/>
    <w:rPr>
      <w:color w:val="0033CC"/>
      <w:u w:val="none"/>
    </w:rPr>
  </w:style>
  <w:style w:type="paragraph" w:customStyle="1" w:styleId="BodyTextRight">
    <w:name w:val="Body Text Right"/>
    <w:basedOn w:val="BodyText"/>
    <w:rsid w:val="00BA237C"/>
    <w:pPr>
      <w:spacing w:before="0" w:after="0"/>
      <w:jc w:val="right"/>
    </w:pPr>
  </w:style>
  <w:style w:type="paragraph" w:styleId="Index3">
    <w:name w:val="index 3"/>
    <w:basedOn w:val="ListNumber2"/>
    <w:next w:val="Normal"/>
    <w:semiHidden/>
    <w:rsid w:val="00BA237C"/>
    <w:pPr>
      <w:numPr>
        <w:numId w:val="0"/>
      </w:numPr>
      <w:tabs>
        <w:tab w:val="right" w:leader="dot" w:pos="4176"/>
      </w:tabs>
    </w:pPr>
  </w:style>
  <w:style w:type="paragraph" w:styleId="ListNumber2">
    <w:name w:val="List Number 2"/>
    <w:basedOn w:val="List2"/>
    <w:rsid w:val="00BA237C"/>
    <w:pPr>
      <w:numPr>
        <w:numId w:val="9"/>
      </w:numPr>
      <w:tabs>
        <w:tab w:val="clear" w:pos="1060"/>
      </w:tabs>
    </w:pPr>
  </w:style>
  <w:style w:type="paragraph" w:customStyle="1" w:styleId="MarginNote">
    <w:name w:val="Margin Note"/>
    <w:basedOn w:val="BodyText"/>
    <w:rsid w:val="00BA2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37C"/>
    <w:rPr>
      <w:sz w:val="32"/>
    </w:rPr>
  </w:style>
  <w:style w:type="paragraph" w:customStyle="1" w:styleId="HeadingProcedure">
    <w:name w:val="Heading Procedure"/>
    <w:basedOn w:val="HeadingBase"/>
    <w:next w:val="Normal"/>
    <w:rsid w:val="00BA237C"/>
    <w:pPr>
      <w:tabs>
        <w:tab w:val="left" w:pos="0"/>
      </w:tabs>
      <w:spacing w:before="120" w:after="60"/>
    </w:pPr>
    <w:rPr>
      <w:i/>
      <w:color w:val="918585"/>
      <w:sz w:val="22"/>
    </w:rPr>
  </w:style>
  <w:style w:type="paragraph" w:customStyle="1" w:styleId="TableBodyText">
    <w:name w:val="Table Body Text"/>
    <w:basedOn w:val="BodyText"/>
    <w:rsid w:val="00BA237C"/>
    <w:pPr>
      <w:spacing w:before="60" w:after="60"/>
    </w:pPr>
  </w:style>
  <w:style w:type="paragraph" w:styleId="ListContinue">
    <w:name w:val="List Continue"/>
    <w:basedOn w:val="List"/>
    <w:rsid w:val="00BA237C"/>
    <w:pPr>
      <w:ind w:firstLine="0"/>
    </w:pPr>
  </w:style>
  <w:style w:type="paragraph" w:customStyle="1" w:styleId="ListNote">
    <w:name w:val="List Note"/>
    <w:basedOn w:val="List"/>
    <w:rsid w:val="00BA237C"/>
    <w:pPr>
      <w:pBdr>
        <w:top w:val="single" w:sz="6" w:space="2" w:color="918585"/>
        <w:bottom w:val="single" w:sz="6" w:space="2" w:color="918585"/>
      </w:pBdr>
      <w:tabs>
        <w:tab w:val="left" w:pos="1021"/>
      </w:tabs>
      <w:ind w:firstLine="0"/>
    </w:pPr>
  </w:style>
  <w:style w:type="paragraph" w:customStyle="1" w:styleId="Warning">
    <w:name w:val="Warning"/>
    <w:basedOn w:val="BodyText"/>
    <w:rsid w:val="00BA237C"/>
    <w:pPr>
      <w:shd w:val="clear" w:color="auto" w:fill="D9D9D9"/>
      <w:tabs>
        <w:tab w:val="left" w:pos="992"/>
      </w:tabs>
      <w:ind w:left="119" w:right="119"/>
    </w:pPr>
    <w:rPr>
      <w:sz w:val="20"/>
    </w:rPr>
  </w:style>
  <w:style w:type="paragraph" w:customStyle="1" w:styleId="MarginIcons">
    <w:name w:val="Margin Icons"/>
    <w:basedOn w:val="BodyText"/>
    <w:rsid w:val="00BA2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37C"/>
    <w:rPr>
      <w:rFonts w:ascii="Courier New" w:hAnsi="Courier New"/>
    </w:rPr>
  </w:style>
  <w:style w:type="paragraph" w:customStyle="1" w:styleId="NoteBullet">
    <w:name w:val="Note Bullet"/>
    <w:basedOn w:val="Note"/>
    <w:rsid w:val="00BA237C"/>
    <w:pPr>
      <w:tabs>
        <w:tab w:val="clear" w:pos="680"/>
      </w:tabs>
      <w:spacing w:before="60" w:after="60"/>
    </w:pPr>
  </w:style>
  <w:style w:type="paragraph" w:customStyle="1" w:styleId="SubHeading2">
    <w:name w:val="SubHeading2"/>
    <w:basedOn w:val="HeadingBase"/>
    <w:rsid w:val="00BA237C"/>
    <w:pPr>
      <w:spacing w:before="240" w:after="60"/>
    </w:pPr>
    <w:rPr>
      <w:sz w:val="20"/>
    </w:rPr>
  </w:style>
  <w:style w:type="paragraph" w:customStyle="1" w:styleId="SubHeading1">
    <w:name w:val="SubHeading1"/>
    <w:basedOn w:val="HeadingBase"/>
    <w:rsid w:val="00BA237C"/>
    <w:pPr>
      <w:spacing w:before="240" w:after="60"/>
    </w:pPr>
    <w:rPr>
      <w:color w:val="918585"/>
      <w:sz w:val="22"/>
    </w:rPr>
  </w:style>
  <w:style w:type="paragraph" w:customStyle="1" w:styleId="SideHeading">
    <w:name w:val="Side Heading"/>
    <w:basedOn w:val="HeadingBase"/>
    <w:rsid w:val="00BA2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37C"/>
    <w:pPr>
      <w:numPr>
        <w:numId w:val="10"/>
      </w:numPr>
    </w:pPr>
  </w:style>
  <w:style w:type="paragraph" w:styleId="PlainText">
    <w:name w:val="Plain Text"/>
    <w:basedOn w:val="Normal"/>
    <w:link w:val="PlainTextChar"/>
    <w:rsid w:val="00BA237C"/>
    <w:rPr>
      <w:sz w:val="20"/>
    </w:rPr>
  </w:style>
  <w:style w:type="character" w:customStyle="1" w:styleId="PlainTextChar">
    <w:name w:val="Plain Text Char"/>
    <w:basedOn w:val="DefaultParagraphFont"/>
    <w:link w:val="PlainText"/>
    <w:rsid w:val="00BA237C"/>
    <w:rPr>
      <w:rFonts w:ascii="Courier New" w:eastAsia="Times New Roman" w:hAnsi="Courier New" w:cs="Times New Roman"/>
      <w:sz w:val="20"/>
      <w:szCs w:val="20"/>
      <w:lang w:eastAsia="en-US"/>
    </w:rPr>
  </w:style>
  <w:style w:type="character" w:customStyle="1" w:styleId="MenuOption">
    <w:name w:val="Menu Option"/>
    <w:basedOn w:val="DefaultParagraphFont"/>
    <w:rsid w:val="00BA237C"/>
    <w:rPr>
      <w:b/>
      <w:smallCaps/>
    </w:rPr>
  </w:style>
  <w:style w:type="paragraph" w:customStyle="1" w:styleId="TableListNumber">
    <w:name w:val="Table List Number"/>
    <w:basedOn w:val="ListNumber"/>
    <w:rsid w:val="00BA237C"/>
    <w:pPr>
      <w:numPr>
        <w:numId w:val="0"/>
      </w:numPr>
    </w:pPr>
  </w:style>
  <w:style w:type="paragraph" w:styleId="TOC4">
    <w:name w:val="toc 4"/>
    <w:basedOn w:val="TOCBase"/>
    <w:next w:val="Normal"/>
    <w:semiHidden/>
    <w:rsid w:val="00BA237C"/>
    <w:pPr>
      <w:tabs>
        <w:tab w:val="right" w:leader="dot" w:pos="9071"/>
      </w:tabs>
      <w:ind w:left="1701"/>
    </w:pPr>
  </w:style>
  <w:style w:type="paragraph" w:customStyle="1" w:styleId="ListAlpha">
    <w:name w:val="List Alpha"/>
    <w:basedOn w:val="List"/>
    <w:rsid w:val="00BA237C"/>
    <w:pPr>
      <w:numPr>
        <w:numId w:val="8"/>
      </w:numPr>
    </w:pPr>
  </w:style>
  <w:style w:type="paragraph" w:customStyle="1" w:styleId="ListAlpha2">
    <w:name w:val="List Alpha 2"/>
    <w:basedOn w:val="List2"/>
    <w:rsid w:val="00BA237C"/>
    <w:pPr>
      <w:numPr>
        <w:numId w:val="7"/>
      </w:numPr>
    </w:pPr>
  </w:style>
  <w:style w:type="paragraph" w:styleId="List3">
    <w:name w:val="List 3"/>
    <w:basedOn w:val="BodyText"/>
    <w:rsid w:val="00BA237C"/>
    <w:pPr>
      <w:tabs>
        <w:tab w:val="left" w:pos="1021"/>
      </w:tabs>
      <w:spacing w:before="60" w:after="60"/>
      <w:ind w:left="1020" w:hanging="340"/>
    </w:pPr>
  </w:style>
  <w:style w:type="paragraph" w:styleId="List4">
    <w:name w:val="List 4"/>
    <w:basedOn w:val="BodyText"/>
    <w:rsid w:val="00BA237C"/>
    <w:pPr>
      <w:tabs>
        <w:tab w:val="left" w:pos="1361"/>
      </w:tabs>
      <w:spacing w:before="60" w:after="60"/>
      <w:ind w:left="1361" w:hanging="340"/>
    </w:pPr>
  </w:style>
  <w:style w:type="paragraph" w:styleId="List5">
    <w:name w:val="List 5"/>
    <w:basedOn w:val="BodyText"/>
    <w:rsid w:val="00BA237C"/>
    <w:pPr>
      <w:tabs>
        <w:tab w:val="left" w:pos="1701"/>
      </w:tabs>
      <w:spacing w:before="60" w:after="60"/>
      <w:ind w:left="1701" w:hanging="340"/>
    </w:pPr>
  </w:style>
  <w:style w:type="paragraph" w:styleId="ListBullet3">
    <w:name w:val="List Bullet 3"/>
    <w:basedOn w:val="List3"/>
    <w:rsid w:val="00BA237C"/>
    <w:pPr>
      <w:numPr>
        <w:numId w:val="13"/>
      </w:numPr>
      <w:tabs>
        <w:tab w:val="clear" w:pos="1021"/>
      </w:tabs>
      <w:ind w:left="1037" w:hanging="357"/>
    </w:pPr>
  </w:style>
  <w:style w:type="paragraph" w:styleId="ListBullet4">
    <w:name w:val="List Bullet 4"/>
    <w:basedOn w:val="List4"/>
    <w:rsid w:val="00BA237C"/>
    <w:pPr>
      <w:numPr>
        <w:numId w:val="2"/>
      </w:numPr>
      <w:tabs>
        <w:tab w:val="clear" w:pos="1361"/>
      </w:tabs>
    </w:pPr>
  </w:style>
  <w:style w:type="paragraph" w:styleId="ListBullet5">
    <w:name w:val="List Bullet 5"/>
    <w:basedOn w:val="List5"/>
    <w:rsid w:val="00BA237C"/>
    <w:pPr>
      <w:numPr>
        <w:numId w:val="3"/>
      </w:numPr>
    </w:pPr>
  </w:style>
  <w:style w:type="paragraph" w:styleId="ListContinue2">
    <w:name w:val="List Continue 2"/>
    <w:basedOn w:val="List2"/>
    <w:rsid w:val="00BA237C"/>
    <w:pPr>
      <w:ind w:firstLine="0"/>
    </w:pPr>
  </w:style>
  <w:style w:type="paragraph" w:styleId="ListContinue3">
    <w:name w:val="List Continue 3"/>
    <w:basedOn w:val="List3"/>
    <w:rsid w:val="00BA237C"/>
    <w:pPr>
      <w:ind w:left="1021" w:firstLine="0"/>
    </w:pPr>
  </w:style>
  <w:style w:type="paragraph" w:styleId="ListContinue4">
    <w:name w:val="List Continue 4"/>
    <w:basedOn w:val="List4"/>
    <w:rsid w:val="00BA237C"/>
    <w:pPr>
      <w:ind w:firstLine="0"/>
    </w:pPr>
  </w:style>
  <w:style w:type="paragraph" w:styleId="ListContinue5">
    <w:name w:val="List Continue 5"/>
    <w:basedOn w:val="List5"/>
    <w:rsid w:val="00BA237C"/>
    <w:pPr>
      <w:ind w:firstLine="0"/>
    </w:pPr>
  </w:style>
  <w:style w:type="paragraph" w:styleId="ListNumber3">
    <w:name w:val="List Number 3"/>
    <w:basedOn w:val="List3"/>
    <w:rsid w:val="00BA237C"/>
    <w:pPr>
      <w:numPr>
        <w:numId w:val="4"/>
      </w:numPr>
    </w:pPr>
  </w:style>
  <w:style w:type="paragraph" w:styleId="ListNumber4">
    <w:name w:val="List Number 4"/>
    <w:basedOn w:val="List4"/>
    <w:rsid w:val="00BA237C"/>
    <w:pPr>
      <w:numPr>
        <w:numId w:val="5"/>
      </w:numPr>
    </w:pPr>
  </w:style>
  <w:style w:type="paragraph" w:styleId="ListNumber5">
    <w:name w:val="List Number 5"/>
    <w:basedOn w:val="List5"/>
    <w:rsid w:val="00BA237C"/>
    <w:pPr>
      <w:numPr>
        <w:numId w:val="6"/>
      </w:numPr>
    </w:pPr>
  </w:style>
  <w:style w:type="paragraph" w:styleId="BlockText">
    <w:name w:val="Block Text"/>
    <w:basedOn w:val="Normal"/>
    <w:rsid w:val="00BA237C"/>
    <w:pPr>
      <w:spacing w:after="120"/>
      <w:ind w:left="1440" w:right="1440"/>
    </w:pPr>
  </w:style>
  <w:style w:type="character" w:customStyle="1" w:styleId="Subscript">
    <w:name w:val="Subscript"/>
    <w:basedOn w:val="DefaultParagraphFont"/>
    <w:rsid w:val="00BA237C"/>
    <w:rPr>
      <w:sz w:val="16"/>
      <w:vertAlign w:val="subscript"/>
    </w:rPr>
  </w:style>
  <w:style w:type="character" w:customStyle="1" w:styleId="Superscript">
    <w:name w:val="Superscript"/>
    <w:basedOn w:val="DefaultParagraphFont"/>
    <w:rsid w:val="00BA237C"/>
    <w:rPr>
      <w:sz w:val="16"/>
      <w:vertAlign w:val="superscript"/>
    </w:rPr>
  </w:style>
  <w:style w:type="character" w:customStyle="1" w:styleId="Symbols">
    <w:name w:val="Symbols"/>
    <w:basedOn w:val="DefaultParagraphFont"/>
    <w:rsid w:val="00BA237C"/>
    <w:rPr>
      <w:rFonts w:ascii="Symbol" w:hAnsi="Symbol"/>
    </w:rPr>
  </w:style>
  <w:style w:type="character" w:customStyle="1" w:styleId="MenuOptions">
    <w:name w:val="Menu Options"/>
    <w:basedOn w:val="DefaultParagraphFont"/>
    <w:rsid w:val="00BA237C"/>
    <w:rPr>
      <w:rFonts w:ascii="Arial Narrow" w:hAnsi="Arial Narrow"/>
      <w:smallCaps/>
    </w:rPr>
  </w:style>
  <w:style w:type="character" w:customStyle="1" w:styleId="Buttons">
    <w:name w:val="Buttons"/>
    <w:basedOn w:val="DefaultParagraphFont"/>
    <w:rsid w:val="00BA237C"/>
    <w:rPr>
      <w:b/>
    </w:rPr>
  </w:style>
  <w:style w:type="character" w:customStyle="1" w:styleId="Underlined">
    <w:name w:val="Underlined"/>
    <w:basedOn w:val="DefaultParagraphFont"/>
    <w:rsid w:val="00BA237C"/>
    <w:rPr>
      <w:u w:val="single"/>
    </w:rPr>
  </w:style>
  <w:style w:type="paragraph" w:customStyle="1" w:styleId="TableBodyTextRight">
    <w:name w:val="Table Body Text Right"/>
    <w:basedOn w:val="TableBodyText"/>
    <w:rsid w:val="00BA237C"/>
    <w:pPr>
      <w:widowControl w:val="0"/>
      <w:autoSpaceDE w:val="0"/>
      <w:autoSpaceDN w:val="0"/>
      <w:adjustRightInd w:val="0"/>
      <w:jc w:val="right"/>
    </w:pPr>
    <w:rPr>
      <w:rFonts w:cs="Arial"/>
      <w:szCs w:val="18"/>
    </w:rPr>
  </w:style>
  <w:style w:type="paragraph" w:customStyle="1" w:styleId="CopyrightText">
    <w:name w:val="Copyright Text"/>
    <w:basedOn w:val="BodyText"/>
    <w:rsid w:val="00BA237C"/>
    <w:rPr>
      <w:sz w:val="18"/>
    </w:rPr>
  </w:style>
  <w:style w:type="paragraph" w:customStyle="1" w:styleId="BodySmallRight">
    <w:name w:val="Body Small Right"/>
    <w:basedOn w:val="BodyTextRight"/>
    <w:rsid w:val="00BA237C"/>
    <w:rPr>
      <w:sz w:val="18"/>
      <w:szCs w:val="18"/>
    </w:rPr>
  </w:style>
  <w:style w:type="paragraph" w:customStyle="1" w:styleId="MarginEdition">
    <w:name w:val="Margin Edition"/>
    <w:basedOn w:val="MarginNote"/>
    <w:rsid w:val="00BA237C"/>
    <w:pPr>
      <w:spacing w:before="0" w:after="0"/>
    </w:pPr>
    <w:rPr>
      <w:rFonts w:ascii="Times New Roman" w:hAnsi="Times New Roman"/>
      <w:color w:val="999999"/>
    </w:rPr>
  </w:style>
  <w:style w:type="paragraph" w:customStyle="1" w:styleId="Spacer">
    <w:name w:val="Spacer"/>
    <w:basedOn w:val="Normal"/>
    <w:rsid w:val="00BA237C"/>
    <w:rPr>
      <w:sz w:val="2"/>
      <w:szCs w:val="2"/>
    </w:rPr>
  </w:style>
  <w:style w:type="character" w:customStyle="1" w:styleId="Small">
    <w:name w:val="Small"/>
    <w:basedOn w:val="DefaultParagraphFont"/>
    <w:rsid w:val="00BA237C"/>
    <w:rPr>
      <w:sz w:val="16"/>
    </w:rPr>
  </w:style>
  <w:style w:type="paragraph" w:customStyle="1" w:styleId="WideTable">
    <w:name w:val="Wide Table"/>
    <w:basedOn w:val="Normal"/>
    <w:rsid w:val="00BA237C"/>
    <w:pPr>
      <w:ind w:left="-1418"/>
    </w:pPr>
    <w:rPr>
      <w:sz w:val="2"/>
      <w:szCs w:val="2"/>
    </w:rPr>
  </w:style>
  <w:style w:type="character" w:styleId="PageNumber">
    <w:name w:val="page number"/>
    <w:basedOn w:val="DefaultParagraphFont"/>
    <w:rsid w:val="00BA237C"/>
  </w:style>
  <w:style w:type="paragraph" w:styleId="Quote">
    <w:name w:val="Quote"/>
    <w:basedOn w:val="Heading1"/>
    <w:link w:val="QuoteChar"/>
    <w:qFormat/>
    <w:rsid w:val="00BA237C"/>
    <w:rPr>
      <w:b w:val="0"/>
      <w:sz w:val="72"/>
      <w:szCs w:val="72"/>
      <w:lang w:val="en-NZ"/>
    </w:rPr>
  </w:style>
  <w:style w:type="character" w:customStyle="1" w:styleId="QuoteChar">
    <w:name w:val="Quote Char"/>
    <w:basedOn w:val="DefaultParagraphFont"/>
    <w:link w:val="Quote"/>
    <w:rsid w:val="00BA2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37C"/>
    <w:pPr>
      <w:pageBreakBefore/>
    </w:pPr>
  </w:style>
  <w:style w:type="paragraph" w:customStyle="1" w:styleId="Border">
    <w:name w:val="Border"/>
    <w:basedOn w:val="Normal"/>
    <w:qFormat/>
    <w:rsid w:val="00BA2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37C"/>
    <w:rPr>
      <w:b/>
      <w:bCs/>
      <w:i/>
      <w:iCs/>
      <w:color w:val="auto"/>
    </w:rPr>
  </w:style>
  <w:style w:type="paragraph" w:styleId="IntenseQuote">
    <w:name w:val="Intense Quote"/>
    <w:basedOn w:val="Normal"/>
    <w:next w:val="Normal"/>
    <w:link w:val="IntenseQuoteChar"/>
    <w:uiPriority w:val="30"/>
    <w:qFormat/>
    <w:rsid w:val="00BA2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37C"/>
    <w:rPr>
      <w:smallCaps/>
      <w:color w:val="auto"/>
      <w:u w:val="single"/>
    </w:rPr>
  </w:style>
  <w:style w:type="character" w:styleId="IntenseReference">
    <w:name w:val="Intense Reference"/>
    <w:basedOn w:val="DefaultParagraphFont"/>
    <w:uiPriority w:val="32"/>
    <w:qFormat/>
    <w:rsid w:val="00BA237C"/>
    <w:rPr>
      <w:b/>
      <w:bCs/>
      <w:smallCaps/>
      <w:color w:val="auto"/>
      <w:spacing w:val="5"/>
      <w:u w:val="single"/>
    </w:rPr>
  </w:style>
  <w:style w:type="paragraph" w:customStyle="1" w:styleId="2ColumnHeading">
    <w:name w:val="2Column Heading"/>
    <w:basedOn w:val="BodyText"/>
    <w:qFormat/>
    <w:rsid w:val="00BA237C"/>
    <w:pPr>
      <w:spacing w:after="60"/>
      <w:ind w:left="-2268"/>
    </w:pPr>
    <w:rPr>
      <w:b/>
    </w:rPr>
  </w:style>
  <w:style w:type="paragraph" w:customStyle="1" w:styleId="Heading1TOC">
    <w:name w:val="Heading1 TOC"/>
    <w:basedOn w:val="Normal"/>
    <w:qFormat/>
    <w:rsid w:val="00BA237C"/>
    <w:pPr>
      <w:spacing w:before="240" w:after="120"/>
    </w:pPr>
    <w:rPr>
      <w:rFonts w:ascii="Times New Roman" w:hAnsi="Times New Roman"/>
      <w:b/>
      <w:sz w:val="32"/>
    </w:rPr>
  </w:style>
  <w:style w:type="paragraph" w:customStyle="1" w:styleId="Heading2TOC">
    <w:name w:val="Heading2 TOC"/>
    <w:basedOn w:val="Normal"/>
    <w:qFormat/>
    <w:rsid w:val="00BA237C"/>
    <w:pPr>
      <w:spacing w:before="240" w:after="60"/>
    </w:pPr>
    <w:rPr>
      <w:rFonts w:ascii="Times New Roman" w:hAnsi="Times New Roman"/>
      <w:b/>
      <w:sz w:val="28"/>
    </w:rPr>
  </w:style>
  <w:style w:type="character" w:customStyle="1" w:styleId="Underline">
    <w:name w:val="Underline"/>
    <w:basedOn w:val="DefaultParagraphFont"/>
    <w:qFormat/>
    <w:rsid w:val="00BA237C"/>
    <w:rPr>
      <w:u w:val="single"/>
    </w:rPr>
  </w:style>
  <w:style w:type="character" w:customStyle="1" w:styleId="BoldandItalics">
    <w:name w:val="Bold and Italics"/>
    <w:qFormat/>
    <w:rsid w:val="00BA237C"/>
    <w:rPr>
      <w:b/>
      <w:i/>
      <w:u w:val="none"/>
    </w:rPr>
  </w:style>
  <w:style w:type="paragraph" w:styleId="BalloonText">
    <w:name w:val="Balloon Text"/>
    <w:basedOn w:val="Normal"/>
    <w:link w:val="BalloonTextChar"/>
    <w:rsid w:val="00BA237C"/>
    <w:rPr>
      <w:rFonts w:ascii="Tahoma" w:hAnsi="Tahoma" w:cs="Tahoma"/>
      <w:sz w:val="16"/>
      <w:szCs w:val="16"/>
    </w:rPr>
  </w:style>
  <w:style w:type="character" w:customStyle="1" w:styleId="BalloonTextChar">
    <w:name w:val="Balloon Text Char"/>
    <w:basedOn w:val="DefaultParagraphFont"/>
    <w:link w:val="BalloonText"/>
    <w:rsid w:val="00BA2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37C"/>
    <w:rPr>
      <w:b/>
      <w:color w:val="660033"/>
      <w:spacing w:val="0"/>
    </w:rPr>
  </w:style>
  <w:style w:type="paragraph" w:customStyle="1" w:styleId="Nameditemlist">
    <w:name w:val="Named item list"/>
    <w:basedOn w:val="BodyText"/>
    <w:qFormat/>
    <w:rsid w:val="00BA237C"/>
    <w:pPr>
      <w:tabs>
        <w:tab w:val="left" w:pos="2835"/>
      </w:tabs>
      <w:ind w:left="2835" w:hanging="2835"/>
    </w:pPr>
  </w:style>
  <w:style w:type="paragraph" w:customStyle="1" w:styleId="BodyTextnopadding">
    <w:name w:val="Body Text no padding"/>
    <w:basedOn w:val="BodyText"/>
    <w:qFormat/>
    <w:rsid w:val="00BA237C"/>
    <w:pPr>
      <w:spacing w:before="0" w:after="0"/>
    </w:pPr>
  </w:style>
  <w:style w:type="character" w:styleId="Hyperlink">
    <w:name w:val="Hyperlink"/>
    <w:basedOn w:val="DefaultParagraphFont"/>
    <w:uiPriority w:val="99"/>
    <w:unhideWhenUsed/>
    <w:rsid w:val="00D75A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3508</Characters>
  <Application>Microsoft Office Word</Application>
  <DocSecurity>0</DocSecurity>
  <Lines>116</Lines>
  <Paragraphs>68</Paragraphs>
  <ScaleCrop>false</ScaleCrop>
  <Company>Author-it Software Corporation Ltd.</Company>
  <LinksUpToDate>false</LinksUpToDate>
  <CharactersWithSpaces>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FNSFMK416 Conduct work within financial markets compliance framework</dc:title>
  <dc:subject>Approved</dc:subject>
  <dc:creator>PwC’s Skills for Australia</dc:creator>
  <cp:keywords>Release: 1</cp:keywords>
  <dc:description>Review Date: 12 April 2008</dc:description>
  <cp:lastModifiedBy>HSD_TPCMSd.prod</cp:lastModifiedBy>
  <cp:revision>3</cp:revision>
  <dcterms:created xsi:type="dcterms:W3CDTF">2022-11-03T07:26:00Z</dcterms:created>
  <dcterms:modified xsi:type="dcterms:W3CDTF">2022-11-03T07:26:00Z</dcterms:modified>
</cp:coreProperties>
</file>