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8DC" w:rsidP="00C05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FNSFMK403 Interpret financial markets information</w:t>
      </w:r>
      <w:r>
        <w:fldChar w:fldCharType="end"/>
      </w:r>
    </w:p>
    <w:p w:rsidR="00C058DC" w:rsidP="00C058DC">
      <w:pPr>
        <w:pStyle w:val="Version"/>
        <w:sectPr w:rsidSect="00186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381" w:rsidP="00186381">
      <w:pPr>
        <w:pStyle w:val="SuperHeading"/>
      </w:pPr>
      <w:r w:rsidRPr="00186381">
        <w:t>Assessment Requirements for FNSFMK403 Interpret financial markets information</w:t>
      </w:r>
    </w:p>
    <w:p w:rsidR="00000000" w:rsidRPr="00186381" w:rsidP="00186381">
      <w:pPr>
        <w:pStyle w:val="Heading1"/>
      </w:pPr>
      <w:bookmarkStart w:id="1" w:name="O_676178"/>
      <w:bookmarkEnd w:id="1"/>
      <w:r w:rsidRPr="001863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81" w:rsidP="00186381">
            <w:pPr>
              <w:pStyle w:val="BodyText"/>
            </w:pPr>
            <w:r w:rsidRPr="001863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81">
            <w:pPr>
              <w:pStyle w:val="BodyText"/>
              <w:rPr>
                <w:lang w:val="en-NZ"/>
              </w:rPr>
            </w:pPr>
            <w:r w:rsidRPr="00186381">
              <w:rPr>
                <w:rStyle w:val="SpecialBold"/>
              </w:rPr>
              <w:t>Comments</w:t>
            </w:r>
          </w:p>
        </w:tc>
      </w:tr>
      <w:tr w:rsidTr="00186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81">
            <w:pPr>
              <w:pStyle w:val="BodyText"/>
              <w:rPr>
                <w:lang w:val="en-NZ"/>
              </w:rPr>
            </w:pPr>
            <w:r w:rsidRPr="001863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81" w:rsidP="00186381">
            <w:pPr>
              <w:pStyle w:val="BodyText"/>
            </w:pPr>
            <w:r w:rsidRPr="00186381">
              <w:t>This version first released with FNS Financial Services Training Package Version 1.0.</w:t>
            </w:r>
          </w:p>
        </w:tc>
      </w:tr>
    </w:tbl>
    <w:p w:rsidR="00000000" w:rsidRPr="00186381" w:rsidP="00186381">
      <w:pPr>
        <w:pStyle w:val="BodyText"/>
      </w:pPr>
    </w:p>
    <w:p w:rsidR="00000000" w:rsidRPr="00186381" w:rsidP="00186381">
      <w:pPr>
        <w:pStyle w:val="AllowPageBreak"/>
      </w:pPr>
    </w:p>
    <w:p w:rsidR="00000000" w:rsidRPr="00186381" w:rsidP="00186381">
      <w:pPr>
        <w:pStyle w:val="Heading1"/>
      </w:pPr>
      <w:bookmarkStart w:id="2" w:name="O_676179"/>
      <w:bookmarkEnd w:id="2"/>
      <w:r w:rsidRPr="00186381">
        <w:t>Performance Evidence</w:t>
      </w:r>
    </w:p>
    <w:p w:rsidR="00000000" w:rsidRPr="00186381" w:rsidP="00C058DC">
      <w:pPr>
        <w:pStyle w:val="BodyText"/>
      </w:pPr>
      <w:r w:rsidRPr="00186381">
        <w:t>Evidence of the ability to:</w:t>
      </w:r>
    </w:p>
    <w:p w:rsidR="00000000" w:rsidRPr="00186381" w:rsidP="00186381">
      <w:pPr>
        <w:pStyle w:val="ListBullet"/>
      </w:pPr>
      <w:r w:rsidRPr="00186381">
        <w:t>work within the legal and ethical constraints for financial markets operations and comply with organisational requirements</w:t>
      </w:r>
    </w:p>
    <w:p w:rsidR="00000000" w:rsidRPr="00186381" w:rsidP="00186381">
      <w:pPr>
        <w:pStyle w:val="ListBullet"/>
      </w:pPr>
      <w:r w:rsidRPr="00186381">
        <w:t>source, collect and interpret, using appropriate parameters, relevant financial mar</w:t>
      </w:r>
      <w:r w:rsidRPr="00186381">
        <w:t xml:space="preserve">kets information </w:t>
      </w:r>
    </w:p>
    <w:p w:rsidR="00000000" w:rsidRPr="00186381" w:rsidP="00186381">
      <w:pPr>
        <w:pStyle w:val="ListBullet"/>
      </w:pPr>
      <w:r w:rsidRPr="00186381">
        <w:t>make operational judgements using the correct interpretation of data.</w:t>
      </w:r>
    </w:p>
    <w:p w:rsidR="00000000" w:rsidRPr="00186381" w:rsidP="00186381">
      <w:pPr>
        <w:pStyle w:val="BodyText"/>
      </w:pPr>
    </w:p>
    <w:p w:rsidR="00000000" w:rsidRPr="00186381" w:rsidP="00C058DC">
      <w:pPr>
        <w:pStyle w:val="BodyText"/>
      </w:pPr>
      <w:r w:rsidRPr="00186381">
        <w:t>Note: If a specific volume or frequency is not stated, then evidence must be provided at least once.</w:t>
      </w:r>
    </w:p>
    <w:p w:rsidR="00000000" w:rsidRPr="00186381" w:rsidP="00186381">
      <w:pPr>
        <w:pStyle w:val="Heading1"/>
      </w:pPr>
      <w:bookmarkStart w:id="3" w:name="O_676180"/>
      <w:bookmarkEnd w:id="3"/>
      <w:r w:rsidRPr="00186381">
        <w:t>Knowledge Evidence</w:t>
      </w:r>
    </w:p>
    <w:p w:rsidR="00000000" w:rsidRPr="00186381" w:rsidP="00C058DC">
      <w:pPr>
        <w:pStyle w:val="BodyText"/>
      </w:pPr>
      <w:r w:rsidRPr="00186381">
        <w:t>To complete the unit requirements safely and effectively, the individual must:</w:t>
      </w:r>
    </w:p>
    <w:p w:rsidR="00000000" w:rsidRPr="00186381" w:rsidP="00186381">
      <w:pPr>
        <w:pStyle w:val="ListBullet"/>
      </w:pPr>
      <w:r w:rsidRPr="00186381">
        <w:t>identify key roles played by market participants, intermediaries and issuers including:</w:t>
      </w:r>
    </w:p>
    <w:p w:rsidR="00000000" w:rsidRPr="00186381" w:rsidP="00186381">
      <w:pPr>
        <w:pStyle w:val="ListBullet2"/>
      </w:pPr>
      <w:r w:rsidRPr="00186381">
        <w:t>ASX</w:t>
      </w:r>
    </w:p>
    <w:p w:rsidR="00000000" w:rsidRPr="00186381" w:rsidP="00186381">
      <w:pPr>
        <w:pStyle w:val="ListBullet2"/>
      </w:pPr>
      <w:r w:rsidRPr="00186381">
        <w:t>custodians</w:t>
      </w:r>
    </w:p>
    <w:p w:rsidR="00000000" w:rsidRPr="00186381" w:rsidP="00186381">
      <w:pPr>
        <w:pStyle w:val="ListBullet2"/>
      </w:pPr>
      <w:r w:rsidRPr="00186381">
        <w:t>managed fund providers</w:t>
      </w:r>
    </w:p>
    <w:p w:rsidR="00000000" w:rsidRPr="00186381" w:rsidP="00186381">
      <w:pPr>
        <w:pStyle w:val="ListBullet2"/>
      </w:pPr>
      <w:r w:rsidRPr="00186381">
        <w:t>retail and wholesale clients</w:t>
      </w:r>
    </w:p>
    <w:p w:rsidR="00000000" w:rsidRPr="00186381" w:rsidP="00186381">
      <w:pPr>
        <w:pStyle w:val="ListBullet2"/>
      </w:pPr>
      <w:r w:rsidRPr="00186381">
        <w:t xml:space="preserve">superannuation fund </w:t>
      </w:r>
      <w:r w:rsidRPr="00186381">
        <w:t>providers</w:t>
      </w:r>
    </w:p>
    <w:p w:rsidR="00000000" w:rsidRPr="00186381" w:rsidP="00186381">
      <w:pPr>
        <w:pStyle w:val="ListBullet2"/>
      </w:pPr>
      <w:r w:rsidRPr="00186381">
        <w:t>financial service providers</w:t>
      </w:r>
    </w:p>
    <w:p w:rsidR="00000000" w:rsidRPr="00186381" w:rsidP="00186381">
      <w:pPr>
        <w:pStyle w:val="ListBullet2"/>
      </w:pPr>
      <w:r w:rsidRPr="00186381">
        <w:t xml:space="preserve">banks </w:t>
      </w:r>
    </w:p>
    <w:p w:rsidR="00000000" w:rsidRPr="00186381" w:rsidP="00186381">
      <w:pPr>
        <w:pStyle w:val="ListBullet2"/>
      </w:pPr>
      <w:r w:rsidRPr="00186381">
        <w:t>brokers</w:t>
      </w:r>
    </w:p>
    <w:p w:rsidR="00000000" w:rsidRPr="00186381" w:rsidP="00186381">
      <w:pPr>
        <w:pStyle w:val="ListBullet2"/>
      </w:pPr>
      <w:r w:rsidRPr="00186381">
        <w:t>building societies</w:t>
      </w:r>
    </w:p>
    <w:p w:rsidR="00000000" w:rsidRPr="00186381" w:rsidP="00186381">
      <w:pPr>
        <w:pStyle w:val="ListBullet2"/>
      </w:pPr>
      <w:r w:rsidRPr="00186381">
        <w:t>financial companies</w:t>
      </w:r>
    </w:p>
    <w:p w:rsidR="00000000" w:rsidRPr="00186381" w:rsidP="00186381">
      <w:pPr>
        <w:pStyle w:val="ListBullet2"/>
      </w:pPr>
      <w:r w:rsidRPr="00186381">
        <w:t>friendly societies</w:t>
      </w:r>
    </w:p>
    <w:p w:rsidR="00000000" w:rsidRPr="00186381" w:rsidP="00186381">
      <w:pPr>
        <w:pStyle w:val="ListBullet"/>
      </w:pPr>
      <w:r w:rsidRPr="00186381">
        <w:t>interpret key features of the economic environment including:</w:t>
      </w:r>
    </w:p>
    <w:p w:rsidR="00000000" w:rsidRPr="00186381" w:rsidP="00186381">
      <w:pPr>
        <w:pStyle w:val="ListBullet2"/>
      </w:pPr>
      <w:r w:rsidRPr="00186381">
        <w:t>broad characteristics and impacts of economic and business cycles</w:t>
      </w:r>
    </w:p>
    <w:p w:rsidR="00000000" w:rsidRPr="00186381" w:rsidP="00186381">
      <w:pPr>
        <w:pStyle w:val="ListBullet2"/>
      </w:pPr>
      <w:r w:rsidRPr="00186381">
        <w:t xml:space="preserve">government monetary and fiscal policies </w:t>
      </w:r>
    </w:p>
    <w:p w:rsidR="00000000" w:rsidRPr="00186381" w:rsidP="00186381">
      <w:pPr>
        <w:pStyle w:val="ListBullet2"/>
      </w:pPr>
      <w:r w:rsidRPr="00186381">
        <w:t xml:space="preserve">interest rates, exchange rates and inflation </w:t>
      </w:r>
    </w:p>
    <w:p w:rsidR="00000000" w:rsidRPr="00186381" w:rsidP="00186381">
      <w:pPr>
        <w:pStyle w:val="ListBullet2"/>
      </w:pPr>
      <w:r w:rsidRPr="00186381">
        <w:t xml:space="preserve">trends and market development affecting the information being analysed </w:t>
      </w:r>
    </w:p>
    <w:p w:rsidR="00000000" w:rsidRPr="00186381" w:rsidP="00186381">
      <w:pPr>
        <w:pStyle w:val="ListBullet"/>
      </w:pPr>
      <w:r w:rsidRPr="00186381">
        <w:t>explain the key interrelationships between industry sectors and financial markets</w:t>
      </w:r>
    </w:p>
    <w:p w:rsidR="00000000" w:rsidRPr="00186381" w:rsidP="00186381">
      <w:pPr>
        <w:pStyle w:val="ListBullet"/>
      </w:pPr>
      <w:r w:rsidRPr="00186381">
        <w:t>compare and co</w:t>
      </w:r>
      <w:r w:rsidRPr="00186381">
        <w:t>ntrast:</w:t>
      </w:r>
    </w:p>
    <w:p w:rsidR="00000000" w:rsidRPr="00186381" w:rsidP="00186381">
      <w:pPr>
        <w:pStyle w:val="ListBullet2"/>
      </w:pPr>
      <w:r w:rsidRPr="00186381">
        <w:t>sources of market and comparative data</w:t>
      </w:r>
    </w:p>
    <w:p w:rsidR="00000000" w:rsidRPr="00186381" w:rsidP="00186381">
      <w:pPr>
        <w:pStyle w:val="ListBullet2"/>
      </w:pPr>
      <w:r w:rsidRPr="00186381">
        <w:t>statistical reporting formats</w:t>
      </w:r>
    </w:p>
    <w:p w:rsidR="00000000" w:rsidRPr="00186381" w:rsidP="00186381">
      <w:pPr>
        <w:pStyle w:val="ListBullet2"/>
      </w:pPr>
      <w:r w:rsidRPr="00186381">
        <w:t>data collection and management systems</w:t>
      </w:r>
    </w:p>
    <w:p w:rsidR="00000000" w:rsidRPr="00186381" w:rsidP="00186381">
      <w:pPr>
        <w:pStyle w:val="ListBullet"/>
      </w:pPr>
      <w:r w:rsidRPr="00186381">
        <w:t>outline key parameters for evaluating information</w:t>
      </w:r>
    </w:p>
    <w:p w:rsidR="00000000" w:rsidRPr="00186381" w:rsidP="00186381">
      <w:pPr>
        <w:pStyle w:val="ListBullet"/>
      </w:pPr>
      <w:r w:rsidRPr="00186381">
        <w:t>describe the key features of:</w:t>
      </w:r>
    </w:p>
    <w:p w:rsidR="00000000" w:rsidRPr="00186381" w:rsidP="00186381">
      <w:pPr>
        <w:pStyle w:val="ListBullet2"/>
      </w:pPr>
      <w:r w:rsidRPr="00186381">
        <w:t>relevant legislation, including privacy and freedom of in</w:t>
      </w:r>
      <w:r w:rsidRPr="00186381">
        <w:t>formation legislation</w:t>
      </w:r>
    </w:p>
    <w:p w:rsidR="00000000" w:rsidRPr="00186381" w:rsidP="00186381">
      <w:pPr>
        <w:pStyle w:val="ListBullet2"/>
      </w:pPr>
      <w:r w:rsidRPr="00186381">
        <w:t>ethical constraints and codes of practice</w:t>
      </w:r>
    </w:p>
    <w:p w:rsidR="00000000" w:rsidRPr="00186381" w:rsidP="00186381">
      <w:pPr>
        <w:pStyle w:val="ListBullet2"/>
      </w:pPr>
      <w:r w:rsidRPr="00186381">
        <w:t>organisational policy, guidelines, goals and objectives</w:t>
      </w:r>
    </w:p>
    <w:p w:rsidR="00000000" w:rsidRPr="00186381" w:rsidP="00186381">
      <w:pPr>
        <w:pStyle w:val="ListBullet2"/>
      </w:pPr>
      <w:r w:rsidRPr="00186381">
        <w:t>risk identification and mitigation techniques.</w:t>
      </w:r>
    </w:p>
    <w:p w:rsidR="00000000" w:rsidRPr="00186381" w:rsidP="00186381">
      <w:pPr>
        <w:pStyle w:val="AllowPageBreak"/>
      </w:pPr>
    </w:p>
    <w:p w:rsidR="00000000" w:rsidRPr="00186381" w:rsidP="00186381">
      <w:pPr>
        <w:pStyle w:val="Heading1"/>
      </w:pPr>
      <w:bookmarkStart w:id="4" w:name="O_676181"/>
      <w:bookmarkEnd w:id="4"/>
      <w:r w:rsidRPr="00186381">
        <w:t>Assessment Conditions</w:t>
      </w:r>
    </w:p>
    <w:p w:rsidR="00000000" w:rsidRPr="00186381" w:rsidP="00C058DC">
      <w:pPr>
        <w:pStyle w:val="BodyText"/>
      </w:pPr>
      <w:r w:rsidRPr="00186381">
        <w:t>Assessment mus</w:t>
      </w:r>
      <w:r w:rsidRPr="00186381">
        <w:t>t be conducted in a safe environment where evidence gathered demonstrates consistent performance of typical activities experienced in the financial markets field of work and include access to:</w:t>
      </w:r>
    </w:p>
    <w:p w:rsidR="00000000" w:rsidRPr="00186381" w:rsidP="00186381">
      <w:pPr>
        <w:pStyle w:val="ListBullet"/>
      </w:pPr>
      <w:r w:rsidRPr="00186381">
        <w:t>office equipment, technology, software and consumables</w:t>
      </w:r>
    </w:p>
    <w:p w:rsidR="00000000" w:rsidRPr="00186381" w:rsidP="00186381">
      <w:pPr>
        <w:pStyle w:val="ListBullet"/>
      </w:pPr>
      <w:r w:rsidRPr="00186381">
        <w:t>financi</w:t>
      </w:r>
      <w:r w:rsidRPr="00186381">
        <w:t>al markets information sources.</w:t>
      </w:r>
    </w:p>
    <w:p w:rsidR="00000000" w:rsidRPr="00186381" w:rsidP="00186381">
      <w:pPr>
        <w:pStyle w:val="BodyText"/>
      </w:pPr>
    </w:p>
    <w:p w:rsidR="00000000" w:rsidRPr="00186381" w:rsidP="00C058DC">
      <w:pPr>
        <w:pStyle w:val="BodyText"/>
      </w:pPr>
      <w:r w:rsidRPr="00186381">
        <w:t>Assessors must satisfy NVR/AQTF assessor requirements.</w:t>
      </w:r>
    </w:p>
    <w:p w:rsidR="00000000" w:rsidRPr="00186381" w:rsidP="00186381">
      <w:pPr>
        <w:pStyle w:val="Heading1"/>
      </w:pPr>
      <w:bookmarkStart w:id="5" w:name="O_676184"/>
      <w:bookmarkEnd w:id="5"/>
      <w:r w:rsidRPr="00186381">
        <w:t>Links</w:t>
      </w:r>
    </w:p>
    <w:p w:rsidR="00000000" w:rsidRPr="00186381" w:rsidP="00C058DC">
      <w:pPr>
        <w:pStyle w:val="BodyText"/>
      </w:pPr>
      <w:r w:rsidRPr="00186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46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6381" w:rsidP="00186381"/>
    <w:sectPr w:rsidSect="00186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81" w:rsidRPr="00C058DC" w:rsidP="00C05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DC" w:rsidP="00186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8DC" w:rsidP="00186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8DC" w:rsidP="00186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381" w:rsidRPr="00C058DC" w:rsidP="00C05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DC" w:rsidRPr="002D2AF8" w:rsidP="00186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FNSFMK403 Interpret financial markets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058DC" w:rsidP="00186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FA9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8F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CC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381"/>
  </w:style>
  <w:style w:type="character" w:customStyle="1" w:styleId="Heading1Char">
    <w:name w:val="Heading 1 Char"/>
    <w:basedOn w:val="DefaultParagraphFont"/>
    <w:link w:val="Heading1"/>
    <w:rsid w:val="00186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3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381"/>
    <w:rPr>
      <w:b/>
      <w:spacing w:val="0"/>
    </w:rPr>
  </w:style>
  <w:style w:type="paragraph" w:styleId="ListBullet2">
    <w:name w:val="List Bullet 2"/>
    <w:basedOn w:val="List2"/>
    <w:rsid w:val="00186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6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381"/>
    <w:rPr>
      <w:i/>
    </w:rPr>
  </w:style>
  <w:style w:type="paragraph" w:styleId="Caption">
    <w:name w:val="caption"/>
    <w:basedOn w:val="BodyText"/>
    <w:next w:val="Normal"/>
    <w:qFormat/>
    <w:rsid w:val="00186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381"/>
  </w:style>
  <w:style w:type="paragraph" w:styleId="TableofFigures">
    <w:name w:val="table of figures"/>
    <w:basedOn w:val="Normal"/>
    <w:next w:val="Normal"/>
    <w:semiHidden/>
    <w:rsid w:val="00186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381"/>
    <w:rPr>
      <w:rFonts w:ascii="Wingdings" w:hAnsi="Wingdings"/>
    </w:rPr>
  </w:style>
  <w:style w:type="paragraph" w:customStyle="1" w:styleId="TableHeading">
    <w:name w:val="Table Heading"/>
    <w:basedOn w:val="HeadingBase"/>
    <w:rsid w:val="00186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381"/>
    <w:rPr>
      <w:color w:val="0033CC"/>
      <w:u w:val="none"/>
    </w:rPr>
  </w:style>
  <w:style w:type="paragraph" w:customStyle="1" w:styleId="BodyTextRight">
    <w:name w:val="Body Text Right"/>
    <w:basedOn w:val="BodyText"/>
    <w:rsid w:val="00186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381"/>
    <w:rPr>
      <w:sz w:val="32"/>
    </w:rPr>
  </w:style>
  <w:style w:type="paragraph" w:customStyle="1" w:styleId="HeadingProcedure">
    <w:name w:val="Heading Procedure"/>
    <w:basedOn w:val="HeadingBase"/>
    <w:next w:val="Normal"/>
    <w:rsid w:val="00186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381"/>
    <w:pPr>
      <w:spacing w:before="60" w:after="60"/>
    </w:pPr>
  </w:style>
  <w:style w:type="paragraph" w:styleId="ListContinue">
    <w:name w:val="List Continue"/>
    <w:basedOn w:val="List"/>
    <w:rsid w:val="00186381"/>
    <w:pPr>
      <w:ind w:firstLine="0"/>
    </w:pPr>
  </w:style>
  <w:style w:type="paragraph" w:customStyle="1" w:styleId="ListNote">
    <w:name w:val="List Note"/>
    <w:basedOn w:val="List"/>
    <w:rsid w:val="00186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381"/>
    <w:rPr>
      <w:rFonts w:ascii="Courier New" w:hAnsi="Courier New"/>
    </w:rPr>
  </w:style>
  <w:style w:type="paragraph" w:customStyle="1" w:styleId="NoteBullet">
    <w:name w:val="Note Bullet"/>
    <w:basedOn w:val="Note"/>
    <w:rsid w:val="00186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381"/>
    <w:rPr>
      <w:b/>
      <w:smallCaps/>
    </w:rPr>
  </w:style>
  <w:style w:type="paragraph" w:customStyle="1" w:styleId="TableListNumber">
    <w:name w:val="Table List Number"/>
    <w:basedOn w:val="ListNumber"/>
    <w:rsid w:val="00186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381"/>
    <w:pPr>
      <w:numPr>
        <w:numId w:val="9"/>
      </w:numPr>
    </w:pPr>
  </w:style>
  <w:style w:type="paragraph" w:customStyle="1" w:styleId="ListAlpha2">
    <w:name w:val="List Alpha 2"/>
    <w:basedOn w:val="List2"/>
    <w:rsid w:val="00186381"/>
    <w:pPr>
      <w:numPr>
        <w:numId w:val="8"/>
      </w:numPr>
    </w:pPr>
  </w:style>
  <w:style w:type="paragraph" w:styleId="List2">
    <w:name w:val="List 2"/>
    <w:basedOn w:val="BodyText"/>
    <w:rsid w:val="00186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381"/>
    <w:pPr>
      <w:numPr>
        <w:numId w:val="4"/>
      </w:numPr>
    </w:pPr>
  </w:style>
  <w:style w:type="paragraph" w:styleId="ListContinue2">
    <w:name w:val="List Continue 2"/>
    <w:basedOn w:val="List2"/>
    <w:rsid w:val="00186381"/>
    <w:pPr>
      <w:ind w:firstLine="0"/>
    </w:pPr>
  </w:style>
  <w:style w:type="paragraph" w:styleId="ListContinue3">
    <w:name w:val="List Continue 3"/>
    <w:basedOn w:val="List3"/>
    <w:rsid w:val="00186381"/>
    <w:pPr>
      <w:ind w:left="1021" w:firstLine="0"/>
    </w:pPr>
  </w:style>
  <w:style w:type="paragraph" w:styleId="ListContinue4">
    <w:name w:val="List Continue 4"/>
    <w:basedOn w:val="List4"/>
    <w:rsid w:val="00186381"/>
    <w:pPr>
      <w:ind w:firstLine="0"/>
    </w:pPr>
  </w:style>
  <w:style w:type="paragraph" w:styleId="ListContinue5">
    <w:name w:val="List Continue 5"/>
    <w:basedOn w:val="List5"/>
    <w:rsid w:val="00186381"/>
    <w:pPr>
      <w:ind w:firstLine="0"/>
    </w:pPr>
  </w:style>
  <w:style w:type="paragraph" w:styleId="ListNumber3">
    <w:name w:val="List Number 3"/>
    <w:basedOn w:val="List3"/>
    <w:rsid w:val="00186381"/>
    <w:pPr>
      <w:numPr>
        <w:numId w:val="5"/>
      </w:numPr>
    </w:pPr>
  </w:style>
  <w:style w:type="paragraph" w:styleId="ListNumber4">
    <w:name w:val="List Number 4"/>
    <w:basedOn w:val="List4"/>
    <w:rsid w:val="00186381"/>
    <w:pPr>
      <w:numPr>
        <w:numId w:val="6"/>
      </w:numPr>
    </w:pPr>
  </w:style>
  <w:style w:type="paragraph" w:styleId="ListNumber5">
    <w:name w:val="List Number 5"/>
    <w:basedOn w:val="List5"/>
    <w:rsid w:val="00186381"/>
    <w:pPr>
      <w:numPr>
        <w:numId w:val="7"/>
      </w:numPr>
    </w:pPr>
  </w:style>
  <w:style w:type="paragraph" w:styleId="BlockText">
    <w:name w:val="Block Text"/>
    <w:basedOn w:val="Normal"/>
    <w:rsid w:val="00186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381"/>
    <w:rPr>
      <w:sz w:val="16"/>
      <w:vertAlign w:val="superscript"/>
    </w:rPr>
  </w:style>
  <w:style w:type="character" w:customStyle="1" w:styleId="Symbols">
    <w:name w:val="Symbols"/>
    <w:basedOn w:val="DefaultParagraphFont"/>
    <w:rsid w:val="00186381"/>
    <w:rPr>
      <w:rFonts w:ascii="Symbol" w:hAnsi="Symbol"/>
    </w:rPr>
  </w:style>
  <w:style w:type="character" w:customStyle="1" w:styleId="MenuOptions">
    <w:name w:val="Menu Options"/>
    <w:basedOn w:val="DefaultParagraphFont"/>
    <w:rsid w:val="00186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381"/>
    <w:rPr>
      <w:b/>
    </w:rPr>
  </w:style>
  <w:style w:type="character" w:customStyle="1" w:styleId="Underlined">
    <w:name w:val="Underlined"/>
    <w:basedOn w:val="DefaultParagraphFont"/>
    <w:rsid w:val="00186381"/>
    <w:rPr>
      <w:u w:val="single"/>
    </w:rPr>
  </w:style>
  <w:style w:type="paragraph" w:customStyle="1" w:styleId="TableBodyTextRight">
    <w:name w:val="Table Body Text Right"/>
    <w:basedOn w:val="TableBodyText"/>
    <w:rsid w:val="00186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381"/>
    <w:rPr>
      <w:sz w:val="18"/>
    </w:rPr>
  </w:style>
  <w:style w:type="paragraph" w:customStyle="1" w:styleId="BodySmallRight">
    <w:name w:val="Body Small Right"/>
    <w:basedOn w:val="BodyTextRight"/>
    <w:rsid w:val="00186381"/>
    <w:rPr>
      <w:sz w:val="18"/>
      <w:szCs w:val="18"/>
    </w:rPr>
  </w:style>
  <w:style w:type="paragraph" w:customStyle="1" w:styleId="MarginEdition">
    <w:name w:val="Margin Edition"/>
    <w:basedOn w:val="MarginNote"/>
    <w:rsid w:val="00186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381"/>
    <w:rPr>
      <w:sz w:val="2"/>
      <w:szCs w:val="2"/>
    </w:rPr>
  </w:style>
  <w:style w:type="character" w:customStyle="1" w:styleId="Small">
    <w:name w:val="Small"/>
    <w:basedOn w:val="DefaultParagraphFont"/>
    <w:rsid w:val="00186381"/>
    <w:rPr>
      <w:sz w:val="16"/>
    </w:rPr>
  </w:style>
  <w:style w:type="paragraph" w:customStyle="1" w:styleId="WideTable">
    <w:name w:val="Wide Table"/>
    <w:basedOn w:val="Normal"/>
    <w:rsid w:val="00186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381"/>
  </w:style>
  <w:style w:type="paragraph" w:styleId="Quote">
    <w:name w:val="Quote"/>
    <w:basedOn w:val="Heading1"/>
    <w:link w:val="QuoteChar"/>
    <w:qFormat/>
    <w:rsid w:val="00186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381"/>
    <w:pPr>
      <w:pageBreakBefore/>
    </w:pPr>
  </w:style>
  <w:style w:type="paragraph" w:customStyle="1" w:styleId="Border">
    <w:name w:val="Border"/>
    <w:basedOn w:val="Normal"/>
    <w:qFormat/>
    <w:rsid w:val="00186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381"/>
    <w:rPr>
      <w:u w:val="single"/>
    </w:rPr>
  </w:style>
  <w:style w:type="character" w:customStyle="1" w:styleId="BoldandItalics">
    <w:name w:val="Bold and Italics"/>
    <w:qFormat/>
    <w:rsid w:val="00186381"/>
    <w:rPr>
      <w:b/>
      <w:i/>
      <w:u w:val="none"/>
    </w:rPr>
  </w:style>
  <w:style w:type="paragraph" w:styleId="BalloonText">
    <w:name w:val="Balloon Text"/>
    <w:basedOn w:val="Normal"/>
    <w:link w:val="BalloonTextChar"/>
    <w:rsid w:val="00186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381"/>
    <w:pPr>
      <w:spacing w:before="0" w:after="0"/>
    </w:pPr>
  </w:style>
  <w:style w:type="paragraph" w:customStyle="1" w:styleId="BodyTextBold">
    <w:name w:val="Body Text Bold"/>
    <w:basedOn w:val="BodyText"/>
    <w:qFormat/>
    <w:rsid w:val="00186381"/>
    <w:rPr>
      <w:b/>
    </w:rPr>
  </w:style>
  <w:style w:type="character" w:styleId="Hyperlink">
    <w:name w:val="Hyperlink"/>
    <w:basedOn w:val="DefaultParagraphFont"/>
    <w:uiPriority w:val="99"/>
    <w:unhideWhenUsed/>
    <w:rsid w:val="00C05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2319</Characters>
  <Application>Microsoft Office Word</Application>
  <DocSecurity>0</DocSecurity>
  <Lines>72</Lines>
  <Paragraphs>61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FNSFMK403 Interpret financial markets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