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7BF" w:rsidP="00837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FNSFMB513 Present credit options to clients with special financial circumstances</w:t>
      </w:r>
      <w:r>
        <w:fldChar w:fldCharType="end"/>
      </w:r>
    </w:p>
    <w:p w:rsidR="008377BF" w:rsidP="008377BF">
      <w:pPr>
        <w:pStyle w:val="Version"/>
        <w:sectPr w:rsidSect="003A1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5E2" w:rsidP="003A15E2">
      <w:pPr>
        <w:pStyle w:val="SuperHeading"/>
      </w:pPr>
      <w:r w:rsidRPr="003A15E2">
        <w:t>Assessment Requirements for FNSFMB513 Present credit options to clients with special financial circumstances</w:t>
      </w:r>
    </w:p>
    <w:p w:rsidR="00000000" w:rsidRPr="003A15E2" w:rsidP="003A15E2">
      <w:pPr>
        <w:pStyle w:val="Heading1"/>
      </w:pPr>
      <w:bookmarkStart w:id="1" w:name="O_1156784"/>
      <w:bookmarkEnd w:id="1"/>
      <w:r w:rsidRPr="003A15E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A15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E2" w:rsidP="003A15E2">
            <w:pPr>
              <w:pStyle w:val="BodyText"/>
            </w:pPr>
            <w:r w:rsidRPr="003A15E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E2">
            <w:pPr>
              <w:pStyle w:val="BodyText"/>
              <w:rPr>
                <w:lang w:val="en-NZ"/>
              </w:rPr>
            </w:pPr>
            <w:r w:rsidRPr="003A15E2">
              <w:rPr>
                <w:rStyle w:val="SpecialBold"/>
              </w:rPr>
              <w:t>Comments</w:t>
            </w:r>
          </w:p>
        </w:tc>
      </w:tr>
      <w:tr w:rsidTr="003A15E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5E2">
            <w:pPr>
              <w:pStyle w:val="BodyText"/>
              <w:rPr>
                <w:lang w:val="en-NZ"/>
              </w:rPr>
            </w:pPr>
            <w:r w:rsidRPr="003A15E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5E2" w:rsidP="003A15E2">
            <w:pPr>
              <w:pStyle w:val="BodyText"/>
            </w:pPr>
            <w:r w:rsidRPr="003A15E2">
              <w:t>This version first released with FNS Financial Services Training Package Version 6.0.</w:t>
            </w:r>
          </w:p>
        </w:tc>
      </w:tr>
    </w:tbl>
    <w:p w:rsidR="00000000" w:rsidRPr="003A15E2" w:rsidP="003A15E2">
      <w:pPr>
        <w:pStyle w:val="BodyText"/>
      </w:pPr>
    </w:p>
    <w:p w:rsidR="00000000" w:rsidRPr="003A15E2" w:rsidP="003A15E2">
      <w:pPr>
        <w:pStyle w:val="AllowPageBreak"/>
      </w:pPr>
    </w:p>
    <w:p w:rsidR="00000000" w:rsidRPr="003A15E2" w:rsidP="003A15E2">
      <w:pPr>
        <w:pStyle w:val="Heading1"/>
      </w:pPr>
      <w:bookmarkStart w:id="2" w:name="O_1156787"/>
      <w:bookmarkEnd w:id="2"/>
      <w:r w:rsidRPr="003A15E2">
        <w:t>Performance Evidence</w:t>
      </w:r>
    </w:p>
    <w:p w:rsidR="00000000" w:rsidRPr="003A15E2" w:rsidP="008377BF">
      <w:pPr>
        <w:pStyle w:val="BodyText"/>
      </w:pPr>
      <w:r w:rsidRPr="003A15E2">
        <w:t>The candidate must demonstrate the ability to complete the tasks outlined in the elements, performance criteria and foundation s</w:t>
      </w:r>
      <w:r w:rsidRPr="003A15E2">
        <w:t>kills of this unit, including evidence of the ability to:</w:t>
      </w:r>
    </w:p>
    <w:p w:rsidR="00000000" w:rsidRPr="003A15E2" w:rsidP="003A15E2">
      <w:pPr>
        <w:pStyle w:val="ListBullet"/>
      </w:pPr>
      <w:r w:rsidRPr="003A15E2">
        <w:t xml:space="preserve">present at least three complex credit options to different clients with special financial circumstances. </w:t>
      </w:r>
    </w:p>
    <w:p w:rsidR="00000000" w:rsidRPr="003A15E2" w:rsidP="003A15E2">
      <w:pPr>
        <w:pStyle w:val="List"/>
      </w:pPr>
    </w:p>
    <w:p w:rsidR="00000000" w:rsidRPr="003A15E2" w:rsidP="008377BF">
      <w:pPr>
        <w:pStyle w:val="BodyText"/>
      </w:pPr>
      <w:r w:rsidRPr="003A15E2">
        <w:t>In the course of the above, the candidate must:</w:t>
      </w:r>
    </w:p>
    <w:p w:rsidR="00000000" w:rsidRPr="003A15E2" w:rsidP="003A15E2">
      <w:pPr>
        <w:pStyle w:val="ListBullet"/>
      </w:pPr>
      <w:r w:rsidRPr="003A15E2">
        <w:t>interpret and comply with legislative requirements, industry regulations and codes of practice</w:t>
      </w:r>
    </w:p>
    <w:p w:rsidR="00000000" w:rsidRPr="003A15E2" w:rsidP="003A15E2">
      <w:pPr>
        <w:pStyle w:val="ListBullet"/>
      </w:pPr>
      <w:r w:rsidRPr="003A15E2">
        <w:t>present broking options based on:</w:t>
      </w:r>
    </w:p>
    <w:p w:rsidR="00000000" w:rsidRPr="003A15E2" w:rsidP="003A15E2">
      <w:pPr>
        <w:pStyle w:val="ListBullet2"/>
      </w:pPr>
      <w:r w:rsidRPr="003A15E2">
        <w:t>impact of each option on client’s financial circumstances</w:t>
      </w:r>
    </w:p>
    <w:p w:rsidR="00000000" w:rsidRPr="003A15E2" w:rsidP="003A15E2">
      <w:pPr>
        <w:pStyle w:val="ListBullet2"/>
      </w:pPr>
      <w:r w:rsidRPr="003A15E2">
        <w:t>consideration of client’s complex needs</w:t>
      </w:r>
    </w:p>
    <w:p w:rsidR="00000000" w:rsidRPr="003A15E2" w:rsidP="003A15E2">
      <w:pPr>
        <w:pStyle w:val="ListBullet2"/>
      </w:pPr>
      <w:r w:rsidRPr="003A15E2">
        <w:t>consideration of client</w:t>
      </w:r>
      <w:r>
        <w:t>’</w:t>
      </w:r>
      <w:r w:rsidRPr="003A15E2">
        <w:t>s le</w:t>
      </w:r>
      <w:r w:rsidRPr="003A15E2">
        <w:t>vel of financial understanding</w:t>
      </w:r>
    </w:p>
    <w:p w:rsidR="00000000" w:rsidRPr="003A15E2" w:rsidP="003A15E2">
      <w:pPr>
        <w:pStyle w:val="ListBullet"/>
      </w:pPr>
      <w:r w:rsidRPr="003A15E2">
        <w:t>obtain client feedback and respond appropriately to any concerns</w:t>
      </w:r>
    </w:p>
    <w:p w:rsidR="00000000" w:rsidRPr="003A15E2" w:rsidP="003A15E2">
      <w:pPr>
        <w:pStyle w:val="ListBullet"/>
      </w:pPr>
      <w:r w:rsidRPr="003A15E2">
        <w:t>complete relevant documentation according to industry requirements and organisational guidelines.</w:t>
      </w:r>
    </w:p>
    <w:p w:rsidR="00000000" w:rsidRPr="003A15E2" w:rsidP="003A15E2">
      <w:pPr>
        <w:pStyle w:val="AllowPageBreak"/>
      </w:pPr>
    </w:p>
    <w:p w:rsidR="00000000" w:rsidRPr="003A15E2" w:rsidP="003A15E2">
      <w:pPr>
        <w:pStyle w:val="Heading1"/>
      </w:pPr>
      <w:bookmarkStart w:id="3" w:name="O_1156786"/>
      <w:bookmarkEnd w:id="3"/>
      <w:r w:rsidRPr="003A15E2">
        <w:t>Knowledge Evidence</w:t>
      </w:r>
    </w:p>
    <w:p w:rsidR="00000000" w:rsidRPr="003A15E2" w:rsidP="008377BF">
      <w:pPr>
        <w:pStyle w:val="BodyText"/>
      </w:pPr>
      <w:r w:rsidRPr="003A15E2">
        <w:t>The candidate must be a</w:t>
      </w:r>
      <w:r w:rsidRPr="003A15E2">
        <w:t>ble to demonstrate knowledge to complete the tasks outlined in the elements, performance criteria and foundation skills of this unit, including knowledge of:</w:t>
      </w:r>
    </w:p>
    <w:p w:rsidR="00000000" w:rsidRPr="003A15E2" w:rsidP="003A15E2">
      <w:pPr>
        <w:pStyle w:val="ListBullet"/>
      </w:pPr>
      <w:r w:rsidRPr="003A15E2">
        <w:t>legislative and regulatory requirements, codes of practice and other industry requirements affect</w:t>
      </w:r>
      <w:r w:rsidRPr="003A15E2">
        <w:t>ing the broking industry, including:</w:t>
      </w:r>
    </w:p>
    <w:p w:rsidR="00000000" w:rsidRPr="003A15E2" w:rsidP="003A15E2">
      <w:pPr>
        <w:pStyle w:val="ListBullet2"/>
      </w:pPr>
      <w:r w:rsidRPr="003A15E2">
        <w:t>best interest duty</w:t>
      </w:r>
    </w:p>
    <w:p w:rsidR="00000000" w:rsidRPr="003A15E2" w:rsidP="003A15E2">
      <w:pPr>
        <w:pStyle w:val="ListBullet2"/>
      </w:pPr>
      <w:r w:rsidRPr="003A15E2">
        <w:t>disclosure</w:t>
      </w:r>
    </w:p>
    <w:p w:rsidR="00000000" w:rsidRPr="003A15E2" w:rsidP="003A15E2">
      <w:pPr>
        <w:pStyle w:val="ListBullet2"/>
      </w:pPr>
      <w:r w:rsidRPr="003A15E2">
        <w:t>privacy</w:t>
      </w:r>
    </w:p>
    <w:p w:rsidR="00000000" w:rsidRPr="003A15E2" w:rsidP="003A15E2">
      <w:pPr>
        <w:pStyle w:val="ListBullet2"/>
      </w:pPr>
      <w:r w:rsidRPr="003A15E2">
        <w:t>industry codes of practice</w:t>
      </w:r>
    </w:p>
    <w:p w:rsidR="00000000" w:rsidRPr="003A15E2" w:rsidP="003A15E2">
      <w:pPr>
        <w:pStyle w:val="ListBullet2"/>
      </w:pPr>
      <w:r w:rsidRPr="003A15E2">
        <w:t xml:space="preserve">National Credit Code </w:t>
      </w:r>
    </w:p>
    <w:p w:rsidR="00000000" w:rsidRPr="003A15E2" w:rsidP="003A15E2">
      <w:pPr>
        <w:pStyle w:val="ListBullet2"/>
      </w:pPr>
      <w:r w:rsidRPr="003A15E2">
        <w:t>fees and commissions and disclosures</w:t>
      </w:r>
    </w:p>
    <w:p w:rsidR="00000000" w:rsidRPr="003A15E2" w:rsidP="003A15E2">
      <w:pPr>
        <w:pStyle w:val="ListBullet2"/>
      </w:pPr>
      <w:r w:rsidRPr="003A15E2">
        <w:t>credit reporting services</w:t>
      </w:r>
    </w:p>
    <w:p w:rsidR="00000000" w:rsidRPr="003A15E2" w:rsidP="003A15E2">
      <w:pPr>
        <w:pStyle w:val="ListBullet"/>
      </w:pPr>
      <w:r w:rsidRPr="003A15E2">
        <w:t>aspects of credit options that require thorough explanation to clients, including:</w:t>
      </w:r>
    </w:p>
    <w:p w:rsidR="00000000" w:rsidRPr="003A15E2" w:rsidP="003A15E2">
      <w:pPr>
        <w:pStyle w:val="ListBullet2"/>
      </w:pPr>
      <w:r w:rsidRPr="003A15E2">
        <w:t>advantages and disadvantages</w:t>
      </w:r>
    </w:p>
    <w:p w:rsidR="00000000" w:rsidRPr="003A15E2" w:rsidP="003A15E2">
      <w:pPr>
        <w:pStyle w:val="ListBullet2"/>
      </w:pPr>
      <w:r w:rsidRPr="003A15E2">
        <w:t xml:space="preserve">risks </w:t>
      </w:r>
    </w:p>
    <w:p w:rsidR="00000000" w:rsidRPr="003A15E2" w:rsidP="003A15E2">
      <w:pPr>
        <w:pStyle w:val="ListBullet2"/>
      </w:pPr>
      <w:r w:rsidRPr="003A15E2">
        <w:t>short- and long-term financial implications</w:t>
      </w:r>
    </w:p>
    <w:p w:rsidR="00000000" w:rsidRPr="003A15E2" w:rsidP="003A15E2">
      <w:pPr>
        <w:pStyle w:val="ListBullet2"/>
      </w:pPr>
      <w:r w:rsidRPr="003A15E2">
        <w:t>assumptions and possibilities</w:t>
      </w:r>
    </w:p>
    <w:p w:rsidR="00000000" w:rsidRPr="003A15E2" w:rsidP="003A15E2">
      <w:pPr>
        <w:pStyle w:val="ListBullet"/>
      </w:pPr>
      <w:r w:rsidRPr="003A15E2">
        <w:t>complex features of a client situation and needs, including:</w:t>
      </w:r>
    </w:p>
    <w:p w:rsidR="00000000" w:rsidRPr="003A15E2" w:rsidP="003A15E2">
      <w:pPr>
        <w:pStyle w:val="ListBullet2"/>
      </w:pPr>
      <w:r w:rsidRPr="003A15E2">
        <w:t>multiple mortgages</w:t>
      </w:r>
    </w:p>
    <w:p w:rsidR="00000000" w:rsidRPr="003A15E2" w:rsidP="003A15E2">
      <w:pPr>
        <w:pStyle w:val="ListBullet2"/>
      </w:pPr>
      <w:r w:rsidRPr="003A15E2">
        <w:t>cross-collateralisation</w:t>
      </w:r>
    </w:p>
    <w:p w:rsidR="00000000" w:rsidRPr="003A15E2" w:rsidP="003A15E2">
      <w:pPr>
        <w:pStyle w:val="ListBullet2"/>
      </w:pPr>
      <w:r w:rsidRPr="003A15E2">
        <w:t>loans to trusts or partnerships or corporations</w:t>
      </w:r>
    </w:p>
    <w:p w:rsidR="00000000" w:rsidRPr="003A15E2" w:rsidP="003A15E2">
      <w:pPr>
        <w:pStyle w:val="ListBullet2"/>
      </w:pPr>
      <w:r w:rsidRPr="003A15E2">
        <w:t>rural land mortgages</w:t>
      </w:r>
    </w:p>
    <w:p w:rsidR="00000000" w:rsidRPr="003A15E2" w:rsidP="003A15E2">
      <w:pPr>
        <w:pStyle w:val="ListBullet2"/>
      </w:pPr>
      <w:r w:rsidRPr="003A15E2">
        <w:t>bridging loans</w:t>
      </w:r>
    </w:p>
    <w:p w:rsidR="00000000" w:rsidRPr="003A15E2" w:rsidP="003A15E2">
      <w:pPr>
        <w:pStyle w:val="ListBullet2"/>
      </w:pPr>
      <w:r w:rsidRPr="003A15E2">
        <w:t>reverse mortgages</w:t>
      </w:r>
    </w:p>
    <w:p w:rsidR="00000000" w:rsidRPr="003A15E2" w:rsidP="003A15E2">
      <w:pPr>
        <w:pStyle w:val="ListBullet2"/>
      </w:pPr>
      <w:r w:rsidRPr="003A15E2">
        <w:t>business or commercial loans</w:t>
      </w:r>
    </w:p>
    <w:p w:rsidR="00000000" w:rsidRPr="003A15E2" w:rsidP="003A15E2">
      <w:pPr>
        <w:pStyle w:val="ListBullet2"/>
      </w:pPr>
      <w:r w:rsidRPr="003A15E2">
        <w:t>chattel leases</w:t>
      </w:r>
    </w:p>
    <w:p w:rsidR="00000000" w:rsidRPr="003A15E2" w:rsidP="003A15E2">
      <w:pPr>
        <w:pStyle w:val="ListBullet2"/>
      </w:pPr>
      <w:r w:rsidRPr="003A15E2">
        <w:t xml:space="preserve">native title rights </w:t>
      </w:r>
    </w:p>
    <w:p w:rsidR="00000000" w:rsidRPr="003A15E2" w:rsidP="003A15E2">
      <w:pPr>
        <w:pStyle w:val="ListBullet2"/>
      </w:pPr>
      <w:r w:rsidRPr="003A15E2">
        <w:t>heritage issues</w:t>
      </w:r>
    </w:p>
    <w:p w:rsidR="00000000" w:rsidRPr="003A15E2" w:rsidP="003A15E2">
      <w:pPr>
        <w:pStyle w:val="ListBullet2"/>
      </w:pPr>
      <w:r w:rsidRPr="003A15E2">
        <w:t>contaminated sites or properties near noxious industries</w:t>
      </w:r>
    </w:p>
    <w:p w:rsidR="00000000" w:rsidRPr="003A15E2" w:rsidP="003A15E2">
      <w:pPr>
        <w:pStyle w:val="ListBullet"/>
      </w:pPr>
      <w:r w:rsidRPr="003A15E2">
        <w:t>products available in the broking industry</w:t>
      </w:r>
    </w:p>
    <w:p w:rsidR="00000000" w:rsidRPr="003A15E2" w:rsidP="003A15E2">
      <w:pPr>
        <w:pStyle w:val="ListBullet"/>
      </w:pPr>
      <w:r w:rsidRPr="003A15E2">
        <w:t>organisational policies and procedures in relation to client services and complaint handling</w:t>
      </w:r>
    </w:p>
    <w:p w:rsidR="00000000" w:rsidRPr="003A15E2" w:rsidP="003A15E2">
      <w:pPr>
        <w:pStyle w:val="ListBullet"/>
      </w:pPr>
      <w:r w:rsidRPr="003A15E2">
        <w:t>strategies to interpret and present complex numerical and fina</w:t>
      </w:r>
      <w:r w:rsidRPr="003A15E2">
        <w:t>ncial information</w:t>
      </w:r>
    </w:p>
    <w:p w:rsidR="00000000" w:rsidRPr="003A15E2" w:rsidP="003A15E2">
      <w:pPr>
        <w:pStyle w:val="ListBullet"/>
      </w:pPr>
      <w:r w:rsidRPr="003A15E2">
        <w:t>lending limits</w:t>
      </w:r>
    </w:p>
    <w:p w:rsidR="00000000" w:rsidRPr="003A15E2" w:rsidP="003A15E2">
      <w:pPr>
        <w:pStyle w:val="ListBullet"/>
      </w:pPr>
      <w:r w:rsidRPr="003A15E2">
        <w:t>commercial relationship</w:t>
      </w:r>
    </w:p>
    <w:p w:rsidR="00000000" w:rsidRPr="003A15E2" w:rsidP="003A15E2">
      <w:pPr>
        <w:pStyle w:val="ListBullet"/>
      </w:pPr>
      <w:r w:rsidRPr="003A15E2">
        <w:t>commissions</w:t>
      </w:r>
    </w:p>
    <w:p w:rsidR="00000000" w:rsidRPr="003A15E2" w:rsidP="003A15E2">
      <w:pPr>
        <w:pStyle w:val="ListBullet"/>
      </w:pPr>
      <w:r w:rsidRPr="003A15E2">
        <w:t>risk issues relating to:</w:t>
      </w:r>
    </w:p>
    <w:p w:rsidR="00000000" w:rsidRPr="003A15E2" w:rsidP="003A15E2">
      <w:pPr>
        <w:pStyle w:val="ListBullet2"/>
      </w:pPr>
      <w:r w:rsidRPr="003A15E2">
        <w:t>borrowing risk and gearing</w:t>
      </w:r>
    </w:p>
    <w:p w:rsidR="00000000" w:rsidRPr="003A15E2" w:rsidP="003A15E2">
      <w:pPr>
        <w:pStyle w:val="ListBullet2"/>
      </w:pPr>
      <w:r w:rsidRPr="003A15E2">
        <w:t>economic risk and impact on incomes and asset values</w:t>
      </w:r>
    </w:p>
    <w:p w:rsidR="00000000" w:rsidRPr="003A15E2" w:rsidP="003A15E2">
      <w:pPr>
        <w:pStyle w:val="ListBullet2"/>
      </w:pPr>
      <w:r w:rsidRPr="003A15E2">
        <w:t>specific product risk, including penalties</w:t>
      </w:r>
    </w:p>
    <w:p w:rsidR="00000000" w:rsidRPr="003A15E2" w:rsidP="003A15E2">
      <w:pPr>
        <w:pStyle w:val="ListBullet2"/>
      </w:pPr>
      <w:r w:rsidRPr="003A15E2">
        <w:t>risk factors and return expectations of the client</w:t>
      </w:r>
    </w:p>
    <w:p w:rsidR="00000000" w:rsidRPr="003A15E2" w:rsidP="003A15E2">
      <w:pPr>
        <w:pStyle w:val="ListBullet2"/>
      </w:pPr>
      <w:r w:rsidRPr="003A15E2">
        <w:t>volatility of income and capital.</w:t>
      </w:r>
    </w:p>
    <w:p w:rsidR="00000000" w:rsidRPr="003A15E2" w:rsidP="003A15E2">
      <w:pPr>
        <w:pStyle w:val="AllowPageBreak"/>
      </w:pPr>
    </w:p>
    <w:p w:rsidR="00000000" w:rsidRPr="003A15E2" w:rsidP="003A15E2">
      <w:pPr>
        <w:pStyle w:val="Heading1"/>
      </w:pPr>
      <w:bookmarkStart w:id="4" w:name="O_1156785"/>
      <w:bookmarkEnd w:id="4"/>
      <w:r w:rsidRPr="003A15E2">
        <w:t>Assessment Conditions</w:t>
      </w:r>
    </w:p>
    <w:p w:rsidR="00000000" w:rsidRPr="003A15E2" w:rsidP="008377BF">
      <w:pPr>
        <w:pStyle w:val="BodyText"/>
      </w:pPr>
      <w:r w:rsidRPr="003A15E2">
        <w:t>Skills in this unit must be demonstrated in a workplace or simulated environment where the conditions are typical of those in a wo</w:t>
      </w:r>
      <w:r w:rsidRPr="003A15E2">
        <w:t xml:space="preserve">rking environment in this industry. </w:t>
      </w:r>
    </w:p>
    <w:p w:rsidR="00000000" w:rsidRPr="003A15E2" w:rsidP="008377BF">
      <w:pPr>
        <w:pStyle w:val="BodyText"/>
      </w:pPr>
      <w:r w:rsidRPr="003A15E2">
        <w:t>This includes access to:</w:t>
      </w:r>
    </w:p>
    <w:p w:rsidR="00000000" w:rsidRPr="003A15E2" w:rsidP="003A15E2">
      <w:pPr>
        <w:pStyle w:val="ListBullet"/>
      </w:pPr>
      <w:r w:rsidRPr="003A15E2">
        <w:t>office equipment, technology, software and consumables</w:t>
      </w:r>
    </w:p>
    <w:p w:rsidR="00000000" w:rsidRPr="003A15E2" w:rsidP="003A15E2">
      <w:pPr>
        <w:pStyle w:val="ListBullet"/>
      </w:pPr>
      <w:r w:rsidRPr="003A15E2">
        <w:t xml:space="preserve">financial services product information </w:t>
      </w:r>
    </w:p>
    <w:p w:rsidR="00000000" w:rsidRPr="003A15E2" w:rsidP="003A15E2">
      <w:pPr>
        <w:pStyle w:val="ListBullet"/>
      </w:pPr>
      <w:r w:rsidRPr="003A15E2">
        <w:t>data and documents related to presenting credit options.</w:t>
      </w:r>
    </w:p>
    <w:p w:rsidR="00000000" w:rsidRPr="003A15E2" w:rsidP="003A15E2">
      <w:pPr>
        <w:pStyle w:val="List"/>
      </w:pPr>
    </w:p>
    <w:p w:rsidR="00000000" w:rsidRPr="003A15E2" w:rsidP="008377BF">
      <w:pPr>
        <w:pStyle w:val="BodyText"/>
      </w:pPr>
      <w:r w:rsidRPr="003A15E2">
        <w:t xml:space="preserve">Assessors of this unit must satisfy the requirements for assessors in applicable vocational education and training legislation, frameworks and/or standards. </w:t>
      </w:r>
    </w:p>
    <w:p w:rsidR="00000000" w:rsidRPr="003A15E2" w:rsidP="003A15E2">
      <w:pPr>
        <w:pStyle w:val="Heading1"/>
      </w:pPr>
      <w:bookmarkStart w:id="5" w:name="O_1156783"/>
      <w:bookmarkEnd w:id="5"/>
      <w:r w:rsidRPr="003A15E2">
        <w:t>Links</w:t>
      </w:r>
    </w:p>
    <w:p w:rsidR="00000000" w:rsidRPr="003A15E2" w:rsidP="008377BF">
      <w:pPr>
        <w:pStyle w:val="BodyText"/>
      </w:pPr>
      <w:r w:rsidRPr="003A15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17AE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A15E2" w:rsidP="003A15E2"/>
    <w:sectPr w:rsidSect="003A15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E2" w:rsidRPr="008377BF" w:rsidP="00837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BF" w:rsidP="003A1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77BF" w:rsidP="003A1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77BF" w:rsidP="003A1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5E2" w:rsidRPr="008377BF" w:rsidP="00837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7BF" w:rsidRPr="002D2AF8" w:rsidP="003A1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FNSFMB513 Present credit options to clients with special financial circumstances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377BF" w:rsidP="003A1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02B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104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06B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5E2"/>
  </w:style>
  <w:style w:type="character" w:customStyle="1" w:styleId="Heading1Char">
    <w:name w:val="Heading 1 Char"/>
    <w:basedOn w:val="DefaultParagraphFont"/>
    <w:link w:val="Heading1"/>
    <w:rsid w:val="003A1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5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15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15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5E2"/>
    <w:rPr>
      <w:b/>
      <w:spacing w:val="0"/>
    </w:rPr>
  </w:style>
  <w:style w:type="paragraph" w:styleId="ListBullet2">
    <w:name w:val="List Bullet 2"/>
    <w:basedOn w:val="List2"/>
    <w:rsid w:val="003A15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5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1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5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5E2"/>
    <w:rPr>
      <w:i/>
    </w:rPr>
  </w:style>
  <w:style w:type="paragraph" w:styleId="Caption">
    <w:name w:val="caption"/>
    <w:basedOn w:val="BodyText"/>
    <w:next w:val="Normal"/>
    <w:qFormat/>
    <w:rsid w:val="003A1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5E2"/>
  </w:style>
  <w:style w:type="paragraph" w:styleId="TableofFigures">
    <w:name w:val="table of figures"/>
    <w:basedOn w:val="Normal"/>
    <w:next w:val="Normal"/>
    <w:semiHidden/>
    <w:rsid w:val="003A1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5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5E2"/>
    <w:rPr>
      <w:rFonts w:ascii="Wingdings" w:hAnsi="Wingdings"/>
    </w:rPr>
  </w:style>
  <w:style w:type="paragraph" w:customStyle="1" w:styleId="TableHeading">
    <w:name w:val="Table Heading"/>
    <w:basedOn w:val="HeadingBase"/>
    <w:rsid w:val="003A1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5E2"/>
    <w:rPr>
      <w:color w:val="0033CC"/>
      <w:u w:val="none"/>
    </w:rPr>
  </w:style>
  <w:style w:type="paragraph" w:customStyle="1" w:styleId="BodyTextRight">
    <w:name w:val="Body Text Right"/>
    <w:basedOn w:val="BodyText"/>
    <w:rsid w:val="003A1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5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5E2"/>
    <w:rPr>
      <w:sz w:val="32"/>
    </w:rPr>
  </w:style>
  <w:style w:type="paragraph" w:customStyle="1" w:styleId="HeadingProcedure">
    <w:name w:val="Heading Procedure"/>
    <w:basedOn w:val="HeadingBase"/>
    <w:next w:val="Normal"/>
    <w:rsid w:val="003A1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5E2"/>
    <w:pPr>
      <w:spacing w:before="60" w:after="60"/>
    </w:pPr>
  </w:style>
  <w:style w:type="paragraph" w:styleId="ListContinue">
    <w:name w:val="List Continue"/>
    <w:basedOn w:val="List"/>
    <w:rsid w:val="003A15E2"/>
    <w:pPr>
      <w:ind w:firstLine="0"/>
    </w:pPr>
  </w:style>
  <w:style w:type="paragraph" w:customStyle="1" w:styleId="ListNote">
    <w:name w:val="List Note"/>
    <w:basedOn w:val="List"/>
    <w:rsid w:val="003A1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5E2"/>
    <w:rPr>
      <w:rFonts w:ascii="Courier New" w:hAnsi="Courier New"/>
    </w:rPr>
  </w:style>
  <w:style w:type="paragraph" w:customStyle="1" w:styleId="NoteBullet">
    <w:name w:val="Note Bullet"/>
    <w:basedOn w:val="Note"/>
    <w:rsid w:val="003A1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5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5E2"/>
    <w:rPr>
      <w:b/>
      <w:smallCaps/>
    </w:rPr>
  </w:style>
  <w:style w:type="paragraph" w:customStyle="1" w:styleId="TableListNumber">
    <w:name w:val="Table List Number"/>
    <w:basedOn w:val="ListNumber"/>
    <w:rsid w:val="003A1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5E2"/>
    <w:pPr>
      <w:numPr>
        <w:numId w:val="9"/>
      </w:numPr>
    </w:pPr>
  </w:style>
  <w:style w:type="paragraph" w:customStyle="1" w:styleId="ListAlpha2">
    <w:name w:val="List Alpha 2"/>
    <w:basedOn w:val="List2"/>
    <w:rsid w:val="003A15E2"/>
    <w:pPr>
      <w:numPr>
        <w:numId w:val="8"/>
      </w:numPr>
    </w:pPr>
  </w:style>
  <w:style w:type="paragraph" w:styleId="List2">
    <w:name w:val="List 2"/>
    <w:basedOn w:val="BodyText"/>
    <w:rsid w:val="003A1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5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5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5E2"/>
    <w:pPr>
      <w:numPr>
        <w:numId w:val="4"/>
      </w:numPr>
    </w:pPr>
  </w:style>
  <w:style w:type="paragraph" w:styleId="ListContinue2">
    <w:name w:val="List Continue 2"/>
    <w:basedOn w:val="List2"/>
    <w:rsid w:val="003A15E2"/>
    <w:pPr>
      <w:ind w:firstLine="0"/>
    </w:pPr>
  </w:style>
  <w:style w:type="paragraph" w:styleId="ListContinue3">
    <w:name w:val="List Continue 3"/>
    <w:basedOn w:val="List3"/>
    <w:rsid w:val="003A15E2"/>
    <w:pPr>
      <w:ind w:left="1021" w:firstLine="0"/>
    </w:pPr>
  </w:style>
  <w:style w:type="paragraph" w:styleId="ListContinue4">
    <w:name w:val="List Continue 4"/>
    <w:basedOn w:val="List4"/>
    <w:rsid w:val="003A15E2"/>
    <w:pPr>
      <w:ind w:firstLine="0"/>
    </w:pPr>
  </w:style>
  <w:style w:type="paragraph" w:styleId="ListContinue5">
    <w:name w:val="List Continue 5"/>
    <w:basedOn w:val="List5"/>
    <w:rsid w:val="003A15E2"/>
    <w:pPr>
      <w:ind w:firstLine="0"/>
    </w:pPr>
  </w:style>
  <w:style w:type="paragraph" w:styleId="ListNumber3">
    <w:name w:val="List Number 3"/>
    <w:basedOn w:val="List3"/>
    <w:rsid w:val="003A15E2"/>
    <w:pPr>
      <w:numPr>
        <w:numId w:val="5"/>
      </w:numPr>
    </w:pPr>
  </w:style>
  <w:style w:type="paragraph" w:styleId="ListNumber4">
    <w:name w:val="List Number 4"/>
    <w:basedOn w:val="List4"/>
    <w:rsid w:val="003A15E2"/>
    <w:pPr>
      <w:numPr>
        <w:numId w:val="6"/>
      </w:numPr>
    </w:pPr>
  </w:style>
  <w:style w:type="paragraph" w:styleId="ListNumber5">
    <w:name w:val="List Number 5"/>
    <w:basedOn w:val="List5"/>
    <w:rsid w:val="003A15E2"/>
    <w:pPr>
      <w:numPr>
        <w:numId w:val="7"/>
      </w:numPr>
    </w:pPr>
  </w:style>
  <w:style w:type="paragraph" w:styleId="BlockText">
    <w:name w:val="Block Text"/>
    <w:basedOn w:val="Normal"/>
    <w:rsid w:val="003A1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5E2"/>
    <w:rPr>
      <w:sz w:val="16"/>
      <w:vertAlign w:val="superscript"/>
    </w:rPr>
  </w:style>
  <w:style w:type="character" w:customStyle="1" w:styleId="Symbols">
    <w:name w:val="Symbols"/>
    <w:basedOn w:val="DefaultParagraphFont"/>
    <w:rsid w:val="003A15E2"/>
    <w:rPr>
      <w:rFonts w:ascii="Symbol" w:hAnsi="Symbol"/>
    </w:rPr>
  </w:style>
  <w:style w:type="character" w:customStyle="1" w:styleId="MenuOptions">
    <w:name w:val="Menu Options"/>
    <w:basedOn w:val="DefaultParagraphFont"/>
    <w:rsid w:val="003A1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5E2"/>
    <w:rPr>
      <w:b/>
    </w:rPr>
  </w:style>
  <w:style w:type="character" w:customStyle="1" w:styleId="Underlined">
    <w:name w:val="Underlined"/>
    <w:basedOn w:val="DefaultParagraphFont"/>
    <w:rsid w:val="003A15E2"/>
    <w:rPr>
      <w:u w:val="single"/>
    </w:rPr>
  </w:style>
  <w:style w:type="paragraph" w:customStyle="1" w:styleId="TableBodyTextRight">
    <w:name w:val="Table Body Text Right"/>
    <w:basedOn w:val="TableBodyText"/>
    <w:rsid w:val="003A1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5E2"/>
    <w:rPr>
      <w:sz w:val="18"/>
    </w:rPr>
  </w:style>
  <w:style w:type="paragraph" w:customStyle="1" w:styleId="BodySmallRight">
    <w:name w:val="Body Small Right"/>
    <w:basedOn w:val="BodyTextRight"/>
    <w:rsid w:val="003A15E2"/>
    <w:rPr>
      <w:sz w:val="18"/>
      <w:szCs w:val="18"/>
    </w:rPr>
  </w:style>
  <w:style w:type="paragraph" w:customStyle="1" w:styleId="MarginEdition">
    <w:name w:val="Margin Edition"/>
    <w:basedOn w:val="MarginNote"/>
    <w:rsid w:val="003A1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5E2"/>
    <w:rPr>
      <w:sz w:val="2"/>
      <w:szCs w:val="2"/>
    </w:rPr>
  </w:style>
  <w:style w:type="character" w:customStyle="1" w:styleId="Small">
    <w:name w:val="Small"/>
    <w:basedOn w:val="DefaultParagraphFont"/>
    <w:rsid w:val="003A15E2"/>
    <w:rPr>
      <w:sz w:val="16"/>
    </w:rPr>
  </w:style>
  <w:style w:type="paragraph" w:customStyle="1" w:styleId="WideTable">
    <w:name w:val="Wide Table"/>
    <w:basedOn w:val="Normal"/>
    <w:rsid w:val="003A1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5E2"/>
  </w:style>
  <w:style w:type="paragraph" w:styleId="Quote">
    <w:name w:val="Quote"/>
    <w:basedOn w:val="Heading1"/>
    <w:link w:val="QuoteChar"/>
    <w:qFormat/>
    <w:rsid w:val="003A1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5E2"/>
    <w:pPr>
      <w:pageBreakBefore/>
    </w:pPr>
  </w:style>
  <w:style w:type="paragraph" w:customStyle="1" w:styleId="Border">
    <w:name w:val="Border"/>
    <w:basedOn w:val="Normal"/>
    <w:qFormat/>
    <w:rsid w:val="003A1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5E2"/>
    <w:rPr>
      <w:u w:val="single"/>
    </w:rPr>
  </w:style>
  <w:style w:type="character" w:customStyle="1" w:styleId="BoldandItalics">
    <w:name w:val="Bold and Italics"/>
    <w:qFormat/>
    <w:rsid w:val="003A15E2"/>
    <w:rPr>
      <w:b/>
      <w:i/>
      <w:u w:val="none"/>
    </w:rPr>
  </w:style>
  <w:style w:type="paragraph" w:styleId="BalloonText">
    <w:name w:val="Balloon Text"/>
    <w:basedOn w:val="Normal"/>
    <w:link w:val="BalloonTextChar"/>
    <w:rsid w:val="003A1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5E2"/>
    <w:pPr>
      <w:spacing w:before="0" w:after="0"/>
    </w:pPr>
  </w:style>
  <w:style w:type="paragraph" w:customStyle="1" w:styleId="BodyTextBold">
    <w:name w:val="Body Text Bold"/>
    <w:basedOn w:val="BodyText"/>
    <w:qFormat/>
    <w:rsid w:val="003A15E2"/>
    <w:rPr>
      <w:b/>
    </w:rPr>
  </w:style>
  <w:style w:type="character" w:styleId="Hyperlink">
    <w:name w:val="Hyperlink"/>
    <w:basedOn w:val="DefaultParagraphFont"/>
    <w:uiPriority w:val="99"/>
    <w:unhideWhenUsed/>
    <w:rsid w:val="00837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3093</Characters>
  <Application>Microsoft Office Word</Application>
  <DocSecurity>0</DocSecurity>
  <Lines>93</Lines>
  <Paragraphs>78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FNSFMB513 Present credit options to clients with special financial circumstances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